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A0" w:rsidRPr="002F1C6E" w:rsidRDefault="002F1C6E">
      <w:pPr>
        <w:pBdr>
          <w:bottom w:val="single" w:sz="6" w:space="1" w:color="auto"/>
        </w:pBdr>
        <w:rPr>
          <w:rFonts w:ascii="Arial" w:hAnsi="Arial" w:cs="Arial"/>
          <w:b/>
          <w:sz w:val="20"/>
          <w:szCs w:val="20"/>
        </w:rPr>
      </w:pPr>
      <w:r w:rsidRPr="002F1C6E">
        <w:rPr>
          <w:rFonts w:ascii="Arial" w:hAnsi="Arial" w:cs="Arial"/>
          <w:b/>
          <w:sz w:val="24"/>
          <w:szCs w:val="24"/>
        </w:rPr>
        <w:t xml:space="preserve">PESONA METRO HOLDINGS BERHAD </w:t>
      </w:r>
      <w:r w:rsidRPr="002F1C6E">
        <w:rPr>
          <w:rFonts w:ascii="Arial" w:hAnsi="Arial" w:cs="Arial"/>
          <w:b/>
          <w:sz w:val="20"/>
          <w:szCs w:val="20"/>
        </w:rPr>
        <w:t>(Co. No. 957876-T)</w:t>
      </w:r>
    </w:p>
    <w:p w:rsidR="002F1C6E" w:rsidRPr="004C2064" w:rsidRDefault="002F1C6E" w:rsidP="002F1C6E">
      <w:pPr>
        <w:pStyle w:val="NoSpacing"/>
        <w:rPr>
          <w:b/>
        </w:rPr>
      </w:pPr>
      <w:r w:rsidRPr="004C2064">
        <w:rPr>
          <w:b/>
        </w:rPr>
        <w:t>UNAUDITED CONDENSED CONSOLIDATED STATEMENT OF COMPREHENSIVE INCOME</w:t>
      </w:r>
    </w:p>
    <w:p w:rsidR="002F1C6E" w:rsidRPr="004C2064" w:rsidRDefault="002F1C6E" w:rsidP="002F1C6E">
      <w:pPr>
        <w:pStyle w:val="NoSpacing"/>
        <w:rPr>
          <w:b/>
        </w:rPr>
      </w:pPr>
      <w:r w:rsidRPr="004C2064">
        <w:rPr>
          <w:b/>
        </w:rPr>
        <w:t>FOR THE THIRD QUARTER ENDED 30 SEPTEMBER 2012</w:t>
      </w:r>
    </w:p>
    <w:p w:rsidR="002F1C6E" w:rsidRPr="009B2827" w:rsidRDefault="002F1C6E" w:rsidP="009B282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530"/>
        <w:gridCol w:w="1436"/>
        <w:gridCol w:w="1444"/>
        <w:gridCol w:w="1368"/>
      </w:tblGrid>
      <w:tr w:rsidR="002F1C6E" w:rsidRPr="004C2064" w:rsidTr="002F69AE">
        <w:tc>
          <w:tcPr>
            <w:tcW w:w="3798" w:type="dxa"/>
          </w:tcPr>
          <w:p w:rsidR="002F1C6E" w:rsidRPr="004C2064" w:rsidRDefault="002F1C6E" w:rsidP="002F1C6E">
            <w:pPr>
              <w:pStyle w:val="NoSpacing"/>
              <w:jc w:val="center"/>
              <w:rPr>
                <w:b/>
              </w:rPr>
            </w:pPr>
          </w:p>
        </w:tc>
        <w:tc>
          <w:tcPr>
            <w:tcW w:w="2966" w:type="dxa"/>
            <w:gridSpan w:val="2"/>
          </w:tcPr>
          <w:p w:rsidR="002F1C6E" w:rsidRPr="004C2064" w:rsidRDefault="002F1C6E" w:rsidP="009B2827">
            <w:pPr>
              <w:pStyle w:val="NoSpacing"/>
              <w:jc w:val="right"/>
              <w:rPr>
                <w:b/>
              </w:rPr>
            </w:pPr>
            <w:r w:rsidRPr="004C2064">
              <w:rPr>
                <w:b/>
              </w:rPr>
              <w:t>INDIVIDUAL QUARTER</w:t>
            </w:r>
          </w:p>
        </w:tc>
        <w:tc>
          <w:tcPr>
            <w:tcW w:w="2812" w:type="dxa"/>
            <w:gridSpan w:val="2"/>
          </w:tcPr>
          <w:p w:rsidR="002F1C6E" w:rsidRPr="004C2064" w:rsidRDefault="002F1C6E" w:rsidP="009B2827">
            <w:pPr>
              <w:pStyle w:val="NoSpacing"/>
              <w:jc w:val="right"/>
              <w:rPr>
                <w:b/>
              </w:rPr>
            </w:pPr>
            <w:r w:rsidRPr="004C2064">
              <w:rPr>
                <w:b/>
              </w:rPr>
              <w:t>CUMULATIVE QUARTER</w:t>
            </w:r>
          </w:p>
        </w:tc>
      </w:tr>
      <w:tr w:rsidR="002F1C6E" w:rsidRPr="004C2064" w:rsidTr="002F69AE">
        <w:tc>
          <w:tcPr>
            <w:tcW w:w="3798" w:type="dxa"/>
          </w:tcPr>
          <w:p w:rsidR="002F1C6E" w:rsidRPr="004C2064" w:rsidRDefault="002F1C6E" w:rsidP="002F1C6E">
            <w:pPr>
              <w:pStyle w:val="NoSpacing"/>
              <w:jc w:val="center"/>
            </w:pPr>
          </w:p>
        </w:tc>
        <w:tc>
          <w:tcPr>
            <w:tcW w:w="1530" w:type="dxa"/>
          </w:tcPr>
          <w:p w:rsidR="002F1C6E" w:rsidRPr="004C2064" w:rsidRDefault="002F1C6E" w:rsidP="009B2827">
            <w:pPr>
              <w:pStyle w:val="NoSpacing"/>
              <w:jc w:val="right"/>
            </w:pPr>
            <w:r w:rsidRPr="004C2064">
              <w:t>(Unaudited)</w:t>
            </w:r>
          </w:p>
        </w:tc>
        <w:tc>
          <w:tcPr>
            <w:tcW w:w="1436" w:type="dxa"/>
          </w:tcPr>
          <w:p w:rsidR="002F1C6E" w:rsidRPr="004C2064" w:rsidRDefault="002F1C6E" w:rsidP="009B2827">
            <w:pPr>
              <w:pStyle w:val="NoSpacing"/>
              <w:jc w:val="right"/>
            </w:pPr>
            <w:r w:rsidRPr="004C2064">
              <w:t>(Unaudited)</w:t>
            </w:r>
          </w:p>
        </w:tc>
        <w:tc>
          <w:tcPr>
            <w:tcW w:w="1444" w:type="dxa"/>
          </w:tcPr>
          <w:p w:rsidR="002F1C6E" w:rsidRPr="004C2064" w:rsidRDefault="002F1C6E" w:rsidP="009B2827">
            <w:pPr>
              <w:pStyle w:val="NoSpacing"/>
              <w:jc w:val="right"/>
            </w:pPr>
            <w:r w:rsidRPr="004C2064">
              <w:t>(Unaudited)</w:t>
            </w:r>
          </w:p>
        </w:tc>
        <w:tc>
          <w:tcPr>
            <w:tcW w:w="1368" w:type="dxa"/>
          </w:tcPr>
          <w:p w:rsidR="002F1C6E" w:rsidRPr="004C2064" w:rsidRDefault="002F1C6E" w:rsidP="009B2827">
            <w:pPr>
              <w:pStyle w:val="NoSpacing"/>
              <w:jc w:val="right"/>
            </w:pPr>
            <w:r w:rsidRPr="004C2064">
              <w:t>(Unaudited)</w:t>
            </w:r>
          </w:p>
        </w:tc>
      </w:tr>
      <w:tr w:rsidR="002F1C6E" w:rsidRPr="004C2064" w:rsidTr="002F69AE">
        <w:tc>
          <w:tcPr>
            <w:tcW w:w="3798" w:type="dxa"/>
          </w:tcPr>
          <w:p w:rsidR="002F1C6E" w:rsidRPr="004C2064" w:rsidRDefault="002F1C6E" w:rsidP="00B306A3">
            <w:pPr>
              <w:pStyle w:val="NoSpacing"/>
              <w:jc w:val="center"/>
            </w:pPr>
          </w:p>
        </w:tc>
        <w:tc>
          <w:tcPr>
            <w:tcW w:w="1530" w:type="dxa"/>
          </w:tcPr>
          <w:p w:rsidR="002F1C6E" w:rsidRPr="004C2064" w:rsidRDefault="002F1C6E" w:rsidP="009B2827">
            <w:pPr>
              <w:pStyle w:val="NoSpacing"/>
              <w:jc w:val="right"/>
            </w:pPr>
            <w:r w:rsidRPr="004C2064">
              <w:t>Current</w:t>
            </w:r>
          </w:p>
          <w:p w:rsidR="002F1C6E" w:rsidRPr="004C2064" w:rsidRDefault="00B306A3" w:rsidP="009B2827">
            <w:pPr>
              <w:pStyle w:val="NoSpacing"/>
              <w:jc w:val="right"/>
            </w:pPr>
            <w:r w:rsidRPr="004C2064">
              <w:t>Year</w:t>
            </w:r>
          </w:p>
          <w:p w:rsidR="002F1C6E" w:rsidRPr="004C2064" w:rsidRDefault="002F1C6E" w:rsidP="009B2827">
            <w:pPr>
              <w:pStyle w:val="NoSpacing"/>
              <w:jc w:val="right"/>
            </w:pPr>
            <w:r w:rsidRPr="004C2064">
              <w:t>Quarter</w:t>
            </w:r>
          </w:p>
        </w:tc>
        <w:tc>
          <w:tcPr>
            <w:tcW w:w="1436" w:type="dxa"/>
          </w:tcPr>
          <w:p w:rsidR="002F1C6E" w:rsidRPr="004C2064" w:rsidRDefault="00B306A3" w:rsidP="009B2827">
            <w:pPr>
              <w:pStyle w:val="NoSpacing"/>
              <w:jc w:val="right"/>
            </w:pPr>
            <w:r w:rsidRPr="004C2064">
              <w:t>Preceding</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Quarter</w:t>
            </w:r>
          </w:p>
        </w:tc>
        <w:tc>
          <w:tcPr>
            <w:tcW w:w="1444" w:type="dxa"/>
          </w:tcPr>
          <w:p w:rsidR="002F1C6E" w:rsidRPr="004C2064" w:rsidRDefault="00B306A3" w:rsidP="009B2827">
            <w:pPr>
              <w:pStyle w:val="NoSpacing"/>
              <w:jc w:val="right"/>
            </w:pPr>
            <w:r w:rsidRPr="004C2064">
              <w:t>Current</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To Date</w:t>
            </w:r>
          </w:p>
        </w:tc>
        <w:tc>
          <w:tcPr>
            <w:tcW w:w="1368" w:type="dxa"/>
          </w:tcPr>
          <w:p w:rsidR="002F1C6E" w:rsidRPr="004C2064" w:rsidRDefault="00B306A3" w:rsidP="009B2827">
            <w:pPr>
              <w:pStyle w:val="NoSpacing"/>
              <w:jc w:val="right"/>
            </w:pPr>
            <w:r w:rsidRPr="004C2064">
              <w:t>Preceding</w:t>
            </w:r>
          </w:p>
          <w:p w:rsidR="00B306A3" w:rsidRPr="004C2064" w:rsidRDefault="00B306A3" w:rsidP="009B2827">
            <w:pPr>
              <w:pStyle w:val="NoSpacing"/>
              <w:jc w:val="right"/>
            </w:pPr>
            <w:r w:rsidRPr="004C2064">
              <w:t>Year</w:t>
            </w:r>
          </w:p>
          <w:p w:rsidR="00B306A3" w:rsidRPr="004C2064" w:rsidRDefault="00B306A3" w:rsidP="009B2827">
            <w:pPr>
              <w:pStyle w:val="NoSpacing"/>
              <w:jc w:val="right"/>
            </w:pPr>
            <w:r w:rsidRPr="004C2064">
              <w:t>To Date</w:t>
            </w:r>
          </w:p>
        </w:tc>
      </w:tr>
      <w:tr w:rsidR="002F1C6E" w:rsidRPr="004C2064" w:rsidTr="002F69AE">
        <w:tc>
          <w:tcPr>
            <w:tcW w:w="3798" w:type="dxa"/>
          </w:tcPr>
          <w:p w:rsidR="002F1C6E" w:rsidRPr="004C2064" w:rsidRDefault="002F1C6E" w:rsidP="00B306A3">
            <w:pPr>
              <w:pStyle w:val="NoSpacing"/>
              <w:jc w:val="center"/>
            </w:pPr>
          </w:p>
        </w:tc>
        <w:tc>
          <w:tcPr>
            <w:tcW w:w="1530" w:type="dxa"/>
          </w:tcPr>
          <w:p w:rsidR="002F1C6E" w:rsidRPr="004C2064" w:rsidRDefault="00B306A3" w:rsidP="009B2827">
            <w:pPr>
              <w:pStyle w:val="NoSpacing"/>
              <w:jc w:val="right"/>
            </w:pPr>
            <w:r w:rsidRPr="004C2064">
              <w:t>30.9.2012</w:t>
            </w:r>
          </w:p>
        </w:tc>
        <w:tc>
          <w:tcPr>
            <w:tcW w:w="1436" w:type="dxa"/>
          </w:tcPr>
          <w:p w:rsidR="002F1C6E" w:rsidRPr="004C2064" w:rsidRDefault="00B306A3" w:rsidP="009B2827">
            <w:pPr>
              <w:pStyle w:val="NoSpacing"/>
              <w:jc w:val="right"/>
            </w:pPr>
            <w:r w:rsidRPr="004C2064">
              <w:t>30.9.2011</w:t>
            </w:r>
          </w:p>
        </w:tc>
        <w:tc>
          <w:tcPr>
            <w:tcW w:w="1444" w:type="dxa"/>
          </w:tcPr>
          <w:p w:rsidR="002F1C6E" w:rsidRPr="004C2064" w:rsidRDefault="00B306A3" w:rsidP="009B2827">
            <w:pPr>
              <w:pStyle w:val="NoSpacing"/>
              <w:jc w:val="right"/>
            </w:pPr>
            <w:r w:rsidRPr="004C2064">
              <w:t>30.9.2012</w:t>
            </w:r>
          </w:p>
        </w:tc>
        <w:tc>
          <w:tcPr>
            <w:tcW w:w="1368" w:type="dxa"/>
          </w:tcPr>
          <w:p w:rsidR="002F1C6E" w:rsidRPr="004C2064" w:rsidRDefault="00B306A3" w:rsidP="009B2827">
            <w:pPr>
              <w:pStyle w:val="NoSpacing"/>
              <w:jc w:val="right"/>
            </w:pPr>
            <w:r w:rsidRPr="004C2064">
              <w:t>30.9.2011</w:t>
            </w:r>
          </w:p>
        </w:tc>
      </w:tr>
      <w:tr w:rsidR="00B306A3" w:rsidRPr="004C2064" w:rsidTr="002F69AE">
        <w:tc>
          <w:tcPr>
            <w:tcW w:w="3798" w:type="dxa"/>
          </w:tcPr>
          <w:p w:rsidR="00B306A3" w:rsidRPr="004C2064" w:rsidRDefault="00B306A3" w:rsidP="002F1C6E">
            <w:pPr>
              <w:pStyle w:val="NoSpacing"/>
            </w:pPr>
          </w:p>
        </w:tc>
        <w:tc>
          <w:tcPr>
            <w:tcW w:w="1530" w:type="dxa"/>
          </w:tcPr>
          <w:p w:rsidR="00B306A3" w:rsidRPr="004C2064" w:rsidRDefault="00B306A3" w:rsidP="004902A0">
            <w:pPr>
              <w:pStyle w:val="NoSpacing"/>
              <w:jc w:val="right"/>
            </w:pPr>
            <w:r w:rsidRPr="004C2064">
              <w:t>RM’000</w:t>
            </w:r>
          </w:p>
        </w:tc>
        <w:tc>
          <w:tcPr>
            <w:tcW w:w="1436" w:type="dxa"/>
          </w:tcPr>
          <w:p w:rsidR="00B306A3" w:rsidRPr="004C2064" w:rsidRDefault="00B306A3" w:rsidP="004902A0">
            <w:pPr>
              <w:pStyle w:val="NoSpacing"/>
              <w:jc w:val="right"/>
            </w:pPr>
            <w:r w:rsidRPr="004C2064">
              <w:t>RM’000</w:t>
            </w:r>
          </w:p>
        </w:tc>
        <w:tc>
          <w:tcPr>
            <w:tcW w:w="1444" w:type="dxa"/>
          </w:tcPr>
          <w:p w:rsidR="00B306A3" w:rsidRPr="004C2064" w:rsidRDefault="00B306A3" w:rsidP="004902A0">
            <w:pPr>
              <w:pStyle w:val="NoSpacing"/>
              <w:jc w:val="right"/>
            </w:pPr>
            <w:r w:rsidRPr="004C2064">
              <w:t>RM’000</w:t>
            </w:r>
          </w:p>
        </w:tc>
        <w:tc>
          <w:tcPr>
            <w:tcW w:w="1368" w:type="dxa"/>
          </w:tcPr>
          <w:p w:rsidR="00B306A3" w:rsidRPr="004C2064" w:rsidRDefault="00B306A3" w:rsidP="004902A0">
            <w:pPr>
              <w:pStyle w:val="NoSpacing"/>
              <w:jc w:val="right"/>
            </w:pPr>
            <w:r w:rsidRPr="004C2064">
              <w:t>RM’000</w:t>
            </w:r>
          </w:p>
        </w:tc>
      </w:tr>
      <w:tr w:rsidR="00D80C70" w:rsidRPr="004C2064" w:rsidTr="002F69AE">
        <w:tc>
          <w:tcPr>
            <w:tcW w:w="3798" w:type="dxa"/>
          </w:tcPr>
          <w:p w:rsidR="00D80C70" w:rsidRPr="004C2064" w:rsidRDefault="00D80C70" w:rsidP="002F1C6E">
            <w:pPr>
              <w:pStyle w:val="NoSpacing"/>
              <w:rPr>
                <w:b/>
              </w:rPr>
            </w:pPr>
            <w:r w:rsidRPr="004C2064">
              <w:rPr>
                <w:b/>
              </w:rPr>
              <w:t>Revenue</w:t>
            </w:r>
          </w:p>
        </w:tc>
        <w:tc>
          <w:tcPr>
            <w:tcW w:w="1530" w:type="dxa"/>
          </w:tcPr>
          <w:p w:rsidR="00D80C70" w:rsidRPr="004C2064" w:rsidRDefault="009B2827" w:rsidP="009B2827">
            <w:pPr>
              <w:pStyle w:val="NoSpacing"/>
              <w:jc w:val="right"/>
              <w:rPr>
                <w:b/>
              </w:rPr>
            </w:pPr>
            <w:r>
              <w:rPr>
                <w:b/>
              </w:rPr>
              <w:t>58,215</w:t>
            </w:r>
          </w:p>
        </w:tc>
        <w:tc>
          <w:tcPr>
            <w:tcW w:w="1436" w:type="dxa"/>
          </w:tcPr>
          <w:p w:rsidR="00D80C70" w:rsidRPr="004C2064" w:rsidRDefault="00D80C70" w:rsidP="009B2827">
            <w:pPr>
              <w:pStyle w:val="NoSpacing"/>
              <w:jc w:val="right"/>
            </w:pPr>
            <w:r w:rsidRPr="004C2064">
              <w:t>N/A</w:t>
            </w:r>
          </w:p>
        </w:tc>
        <w:tc>
          <w:tcPr>
            <w:tcW w:w="1444" w:type="dxa"/>
          </w:tcPr>
          <w:p w:rsidR="00D80C70" w:rsidRPr="004C2064" w:rsidRDefault="00E62707" w:rsidP="009B2827">
            <w:pPr>
              <w:pStyle w:val="NoSpacing"/>
              <w:jc w:val="right"/>
              <w:rPr>
                <w:b/>
              </w:rPr>
            </w:pPr>
            <w:r>
              <w:rPr>
                <w:b/>
              </w:rPr>
              <w:t>157,670</w:t>
            </w:r>
          </w:p>
        </w:tc>
        <w:tc>
          <w:tcPr>
            <w:tcW w:w="1368" w:type="dxa"/>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Cost of sales</w:t>
            </w:r>
          </w:p>
        </w:tc>
        <w:tc>
          <w:tcPr>
            <w:tcW w:w="1530" w:type="dxa"/>
            <w:tcBorders>
              <w:bottom w:val="single" w:sz="4" w:space="0" w:color="auto"/>
            </w:tcBorders>
          </w:tcPr>
          <w:p w:rsidR="00D80C70" w:rsidRPr="004C2064" w:rsidRDefault="009B2827" w:rsidP="009B2827">
            <w:pPr>
              <w:pStyle w:val="NoSpacing"/>
              <w:jc w:val="right"/>
            </w:pPr>
            <w:r>
              <w:t>(52,329)</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E62707" w:rsidP="009B2827">
            <w:pPr>
              <w:pStyle w:val="NoSpacing"/>
              <w:jc w:val="right"/>
            </w:pPr>
            <w:r>
              <w:t>(132,645)</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Gross profit</w:t>
            </w:r>
          </w:p>
        </w:tc>
        <w:tc>
          <w:tcPr>
            <w:tcW w:w="1530" w:type="dxa"/>
            <w:tcBorders>
              <w:top w:val="single" w:sz="4" w:space="0" w:color="auto"/>
            </w:tcBorders>
          </w:tcPr>
          <w:p w:rsidR="00D80C70" w:rsidRPr="004C2064" w:rsidRDefault="009B2827" w:rsidP="009B2827">
            <w:pPr>
              <w:pStyle w:val="NoSpacing"/>
              <w:jc w:val="right"/>
              <w:rPr>
                <w:b/>
              </w:rPr>
            </w:pPr>
            <w:r>
              <w:rPr>
                <w:b/>
              </w:rPr>
              <w:t>5,886</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E62707" w:rsidP="009B2827">
            <w:pPr>
              <w:pStyle w:val="NoSpacing"/>
              <w:jc w:val="right"/>
              <w:rPr>
                <w:b/>
              </w:rPr>
            </w:pPr>
            <w:r>
              <w:rPr>
                <w:b/>
              </w:rPr>
              <w:t>25,025</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Other operating income</w:t>
            </w:r>
          </w:p>
        </w:tc>
        <w:tc>
          <w:tcPr>
            <w:tcW w:w="1530" w:type="dxa"/>
          </w:tcPr>
          <w:p w:rsidR="00D80C70" w:rsidRPr="004C2064" w:rsidRDefault="009B2827" w:rsidP="009B2827">
            <w:pPr>
              <w:pStyle w:val="NoSpacing"/>
              <w:jc w:val="right"/>
            </w:pPr>
            <w:r>
              <w:t>497</w:t>
            </w:r>
          </w:p>
        </w:tc>
        <w:tc>
          <w:tcPr>
            <w:tcW w:w="1436" w:type="dxa"/>
          </w:tcPr>
          <w:p w:rsidR="00D80C70" w:rsidRPr="004C2064" w:rsidRDefault="00D80C70" w:rsidP="009B2827">
            <w:pPr>
              <w:pStyle w:val="NoSpacing"/>
              <w:jc w:val="right"/>
            </w:pPr>
            <w:r w:rsidRPr="004C2064">
              <w:t>N/A</w:t>
            </w:r>
          </w:p>
        </w:tc>
        <w:tc>
          <w:tcPr>
            <w:tcW w:w="1444" w:type="dxa"/>
          </w:tcPr>
          <w:p w:rsidR="00D80C70" w:rsidRPr="004C2064" w:rsidRDefault="00E62707" w:rsidP="009B2827">
            <w:pPr>
              <w:pStyle w:val="NoSpacing"/>
              <w:jc w:val="right"/>
            </w:pPr>
            <w:r>
              <w:t>1,543</w:t>
            </w:r>
          </w:p>
        </w:tc>
        <w:tc>
          <w:tcPr>
            <w:tcW w:w="1368" w:type="dxa"/>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Selling and administrative expenses</w:t>
            </w:r>
          </w:p>
        </w:tc>
        <w:tc>
          <w:tcPr>
            <w:tcW w:w="1530" w:type="dxa"/>
            <w:tcBorders>
              <w:bottom w:val="single" w:sz="4" w:space="0" w:color="auto"/>
            </w:tcBorders>
          </w:tcPr>
          <w:p w:rsidR="00D80C70" w:rsidRPr="004C2064" w:rsidRDefault="00E62707" w:rsidP="009B2827">
            <w:pPr>
              <w:pStyle w:val="NoSpacing"/>
              <w:jc w:val="right"/>
            </w:pPr>
            <w:r>
              <w:t>(6,171)</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E62707" w:rsidP="009B2827">
            <w:pPr>
              <w:pStyle w:val="NoSpacing"/>
              <w:jc w:val="right"/>
            </w:pPr>
            <w:r>
              <w:t>(12,288)</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Profit from operations</w:t>
            </w:r>
          </w:p>
        </w:tc>
        <w:tc>
          <w:tcPr>
            <w:tcW w:w="1530" w:type="dxa"/>
            <w:tcBorders>
              <w:top w:val="single" w:sz="4" w:space="0" w:color="auto"/>
            </w:tcBorders>
          </w:tcPr>
          <w:p w:rsidR="00D80C70" w:rsidRPr="004C2064" w:rsidRDefault="00E62707" w:rsidP="009B2827">
            <w:pPr>
              <w:pStyle w:val="NoSpacing"/>
              <w:jc w:val="right"/>
              <w:rPr>
                <w:b/>
              </w:rPr>
            </w:pPr>
            <w:r>
              <w:rPr>
                <w:b/>
              </w:rPr>
              <w:t>212</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E62707" w:rsidP="009B2827">
            <w:pPr>
              <w:pStyle w:val="NoSpacing"/>
              <w:jc w:val="right"/>
              <w:rPr>
                <w:b/>
              </w:rPr>
            </w:pPr>
            <w:r>
              <w:rPr>
                <w:b/>
              </w:rPr>
              <w:t>14,280</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Finance costs</w:t>
            </w:r>
          </w:p>
        </w:tc>
        <w:tc>
          <w:tcPr>
            <w:tcW w:w="1530" w:type="dxa"/>
            <w:tcBorders>
              <w:bottom w:val="single" w:sz="4" w:space="0" w:color="auto"/>
            </w:tcBorders>
          </w:tcPr>
          <w:p w:rsidR="00D80C70" w:rsidRPr="004C2064" w:rsidRDefault="00E62707" w:rsidP="009B2827">
            <w:pPr>
              <w:pStyle w:val="NoSpacing"/>
              <w:jc w:val="right"/>
            </w:pPr>
            <w:r>
              <w:t>(23)</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2F450B" w:rsidP="009B2827">
            <w:pPr>
              <w:pStyle w:val="NoSpacing"/>
              <w:jc w:val="right"/>
            </w:pPr>
            <w:r>
              <w:t>(85</w:t>
            </w:r>
            <w:r w:rsidR="00E62707">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Profit before tax</w:t>
            </w:r>
          </w:p>
        </w:tc>
        <w:tc>
          <w:tcPr>
            <w:tcW w:w="1530" w:type="dxa"/>
            <w:tcBorders>
              <w:top w:val="single" w:sz="4" w:space="0" w:color="auto"/>
            </w:tcBorders>
          </w:tcPr>
          <w:p w:rsidR="00D80C70" w:rsidRPr="004C2064" w:rsidRDefault="00E62707" w:rsidP="009B2827">
            <w:pPr>
              <w:pStyle w:val="NoSpacing"/>
              <w:jc w:val="right"/>
              <w:rPr>
                <w:b/>
              </w:rPr>
            </w:pPr>
            <w:r>
              <w:rPr>
                <w:b/>
              </w:rPr>
              <w:t>189</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2F450B" w:rsidP="009B2827">
            <w:pPr>
              <w:pStyle w:val="NoSpacing"/>
              <w:jc w:val="right"/>
              <w:rPr>
                <w:b/>
              </w:rPr>
            </w:pPr>
            <w:r>
              <w:rPr>
                <w:b/>
              </w:rPr>
              <w:t>14,195</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Income tax expense</w:t>
            </w:r>
          </w:p>
        </w:tc>
        <w:tc>
          <w:tcPr>
            <w:tcW w:w="1530" w:type="dxa"/>
            <w:tcBorders>
              <w:bottom w:val="single" w:sz="4" w:space="0" w:color="auto"/>
            </w:tcBorders>
          </w:tcPr>
          <w:p w:rsidR="00D80C70" w:rsidRPr="004C2064" w:rsidRDefault="00E62707" w:rsidP="009B2827">
            <w:pPr>
              <w:pStyle w:val="NoSpacing"/>
              <w:jc w:val="right"/>
            </w:pPr>
            <w:r>
              <w:t>(827)</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2F450B" w:rsidP="009B2827">
            <w:pPr>
              <w:pStyle w:val="NoSpacing"/>
              <w:jc w:val="right"/>
            </w:pPr>
            <w:r>
              <w:t>(4,254</w:t>
            </w:r>
            <w:r w:rsidR="00E62707">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E62707" w:rsidP="002F1C6E">
            <w:pPr>
              <w:pStyle w:val="NoSpacing"/>
              <w:rPr>
                <w:b/>
              </w:rPr>
            </w:pPr>
            <w:r>
              <w:rPr>
                <w:b/>
              </w:rPr>
              <w:t>(Loss)/</w:t>
            </w:r>
            <w:r w:rsidR="00D80C70" w:rsidRPr="004C2064">
              <w:rPr>
                <w:b/>
              </w:rPr>
              <w:t>Profit for the period</w:t>
            </w:r>
          </w:p>
        </w:tc>
        <w:tc>
          <w:tcPr>
            <w:tcW w:w="1530" w:type="dxa"/>
            <w:tcBorders>
              <w:top w:val="single" w:sz="4" w:space="0" w:color="auto"/>
            </w:tcBorders>
          </w:tcPr>
          <w:p w:rsidR="00D80C70" w:rsidRPr="004C2064" w:rsidRDefault="00E62707" w:rsidP="009B2827">
            <w:pPr>
              <w:pStyle w:val="NoSpacing"/>
              <w:jc w:val="right"/>
              <w:rPr>
                <w:b/>
              </w:rPr>
            </w:pPr>
            <w:r>
              <w:rPr>
                <w:b/>
              </w:rPr>
              <w:t>(638)</w:t>
            </w:r>
          </w:p>
        </w:tc>
        <w:tc>
          <w:tcPr>
            <w:tcW w:w="1436" w:type="dxa"/>
            <w:tcBorders>
              <w:top w:val="single" w:sz="4" w:space="0" w:color="auto"/>
            </w:tcBorders>
          </w:tcPr>
          <w:p w:rsidR="00D80C70" w:rsidRPr="004C2064" w:rsidRDefault="00D80C70" w:rsidP="009B2827">
            <w:pPr>
              <w:pStyle w:val="NoSpacing"/>
              <w:jc w:val="right"/>
            </w:pPr>
            <w:r w:rsidRPr="004C2064">
              <w:t>N/A</w:t>
            </w:r>
          </w:p>
        </w:tc>
        <w:tc>
          <w:tcPr>
            <w:tcW w:w="1444" w:type="dxa"/>
            <w:tcBorders>
              <w:top w:val="single" w:sz="4" w:space="0" w:color="auto"/>
            </w:tcBorders>
          </w:tcPr>
          <w:p w:rsidR="00D80C70" w:rsidRPr="004C2064" w:rsidRDefault="00E62707" w:rsidP="009B2827">
            <w:pPr>
              <w:pStyle w:val="NoSpacing"/>
              <w:jc w:val="right"/>
              <w:rPr>
                <w:b/>
              </w:rPr>
            </w:pPr>
            <w:r>
              <w:rPr>
                <w:b/>
              </w:rPr>
              <w:t>9,941</w:t>
            </w:r>
          </w:p>
        </w:tc>
        <w:tc>
          <w:tcPr>
            <w:tcW w:w="1368" w:type="dxa"/>
            <w:tcBorders>
              <w:top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r w:rsidRPr="004C2064">
              <w:t>Other comprehensive income</w:t>
            </w:r>
          </w:p>
        </w:tc>
        <w:tc>
          <w:tcPr>
            <w:tcW w:w="1530" w:type="dxa"/>
            <w:tcBorders>
              <w:bottom w:val="single" w:sz="4" w:space="0" w:color="auto"/>
            </w:tcBorders>
          </w:tcPr>
          <w:p w:rsidR="00D80C70" w:rsidRPr="004C2064" w:rsidRDefault="00E62707" w:rsidP="009B2827">
            <w:pPr>
              <w:pStyle w:val="NoSpacing"/>
              <w:jc w:val="right"/>
            </w:pPr>
            <w:r>
              <w:t>-</w:t>
            </w:r>
          </w:p>
        </w:tc>
        <w:tc>
          <w:tcPr>
            <w:tcW w:w="1436" w:type="dxa"/>
            <w:tcBorders>
              <w:bottom w:val="single" w:sz="4" w:space="0" w:color="auto"/>
            </w:tcBorders>
          </w:tcPr>
          <w:p w:rsidR="00D80C70" w:rsidRPr="004C2064" w:rsidRDefault="00D80C70" w:rsidP="009B2827">
            <w:pPr>
              <w:pStyle w:val="NoSpacing"/>
              <w:jc w:val="right"/>
            </w:pPr>
            <w:r w:rsidRPr="004C2064">
              <w:t>N/A</w:t>
            </w:r>
          </w:p>
        </w:tc>
        <w:tc>
          <w:tcPr>
            <w:tcW w:w="1444" w:type="dxa"/>
            <w:tcBorders>
              <w:bottom w:val="single" w:sz="4" w:space="0" w:color="auto"/>
            </w:tcBorders>
          </w:tcPr>
          <w:p w:rsidR="00D80C70" w:rsidRPr="004C2064" w:rsidRDefault="00E62707" w:rsidP="009B2827">
            <w:pPr>
              <w:pStyle w:val="NoSpacing"/>
              <w:jc w:val="right"/>
            </w:pPr>
            <w:r>
              <w:t>-</w:t>
            </w:r>
          </w:p>
        </w:tc>
        <w:tc>
          <w:tcPr>
            <w:tcW w:w="1368" w:type="dxa"/>
            <w:tcBorders>
              <w:bottom w:val="single" w:sz="4" w:space="0" w:color="auto"/>
            </w:tcBorders>
          </w:tcPr>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rPr>
                <w:b/>
              </w:rPr>
            </w:pPr>
            <w:r w:rsidRPr="004C2064">
              <w:rPr>
                <w:b/>
              </w:rPr>
              <w:t>Total comprehensive income for the period</w:t>
            </w:r>
          </w:p>
        </w:tc>
        <w:tc>
          <w:tcPr>
            <w:tcW w:w="1530" w:type="dxa"/>
            <w:tcBorders>
              <w:top w:val="single" w:sz="4" w:space="0" w:color="auto"/>
              <w:bottom w:val="single" w:sz="4" w:space="0" w:color="auto"/>
            </w:tcBorders>
          </w:tcPr>
          <w:p w:rsidR="002F69AE" w:rsidRDefault="002F69AE" w:rsidP="009B2827">
            <w:pPr>
              <w:pStyle w:val="NoSpacing"/>
              <w:jc w:val="right"/>
              <w:rPr>
                <w:b/>
              </w:rPr>
            </w:pPr>
          </w:p>
          <w:p w:rsidR="00D80C70" w:rsidRPr="004C2064" w:rsidRDefault="00E62707" w:rsidP="009B2827">
            <w:pPr>
              <w:pStyle w:val="NoSpacing"/>
              <w:jc w:val="right"/>
              <w:rPr>
                <w:b/>
              </w:rPr>
            </w:pPr>
            <w:r>
              <w:rPr>
                <w:b/>
              </w:rPr>
              <w:t>(638)</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2F69AE" w:rsidRDefault="002F69AE" w:rsidP="009B2827">
            <w:pPr>
              <w:pStyle w:val="NoSpacing"/>
              <w:jc w:val="right"/>
              <w:rPr>
                <w:b/>
              </w:rPr>
            </w:pPr>
          </w:p>
          <w:p w:rsidR="00D80C70" w:rsidRPr="004C2064" w:rsidRDefault="00E62707" w:rsidP="009B2827">
            <w:pPr>
              <w:pStyle w:val="NoSpacing"/>
              <w:jc w:val="right"/>
              <w:rPr>
                <w:b/>
              </w:rPr>
            </w:pPr>
            <w:r>
              <w:rPr>
                <w:b/>
              </w:rPr>
              <w:t>9,941</w:t>
            </w:r>
          </w:p>
        </w:tc>
        <w:tc>
          <w:tcPr>
            <w:tcW w:w="1368"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p>
        </w:tc>
        <w:tc>
          <w:tcPr>
            <w:tcW w:w="1530" w:type="dxa"/>
            <w:tcBorders>
              <w:top w:val="single" w:sz="4" w:space="0" w:color="auto"/>
              <w:bottom w:val="single" w:sz="4" w:space="0" w:color="auto"/>
            </w:tcBorders>
          </w:tcPr>
          <w:p w:rsidR="00D80C70" w:rsidRPr="004C2064" w:rsidRDefault="00D80C70" w:rsidP="009B2827">
            <w:pPr>
              <w:pStyle w:val="NoSpacing"/>
              <w:jc w:val="right"/>
            </w:pPr>
          </w:p>
        </w:tc>
        <w:tc>
          <w:tcPr>
            <w:tcW w:w="1436" w:type="dxa"/>
            <w:tcBorders>
              <w:top w:val="single" w:sz="4" w:space="0" w:color="auto"/>
              <w:bottom w:val="single" w:sz="4" w:space="0" w:color="auto"/>
            </w:tcBorders>
          </w:tcPr>
          <w:p w:rsidR="00D80C70" w:rsidRPr="004C2064" w:rsidRDefault="00D80C70" w:rsidP="009B2827">
            <w:pPr>
              <w:pStyle w:val="NoSpacing"/>
              <w:jc w:val="right"/>
            </w:pPr>
          </w:p>
        </w:tc>
        <w:tc>
          <w:tcPr>
            <w:tcW w:w="1444" w:type="dxa"/>
            <w:tcBorders>
              <w:top w:val="single" w:sz="4" w:space="0" w:color="auto"/>
              <w:bottom w:val="single" w:sz="4" w:space="0" w:color="auto"/>
            </w:tcBorders>
          </w:tcPr>
          <w:p w:rsidR="00D80C70" w:rsidRPr="004C2064" w:rsidRDefault="00D80C70" w:rsidP="009B2827">
            <w:pPr>
              <w:pStyle w:val="NoSpacing"/>
              <w:jc w:val="right"/>
            </w:pPr>
          </w:p>
        </w:tc>
        <w:tc>
          <w:tcPr>
            <w:tcW w:w="1368" w:type="dxa"/>
            <w:tcBorders>
              <w:top w:val="single" w:sz="4" w:space="0" w:color="auto"/>
              <w:bottom w:val="single" w:sz="4" w:space="0" w:color="auto"/>
            </w:tcBorders>
          </w:tcPr>
          <w:p w:rsidR="00D80C70" w:rsidRPr="004C2064" w:rsidRDefault="00D80C70" w:rsidP="009B2827">
            <w:pPr>
              <w:pStyle w:val="NoSpacing"/>
              <w:jc w:val="right"/>
            </w:pPr>
          </w:p>
        </w:tc>
      </w:tr>
      <w:tr w:rsidR="00D80C70" w:rsidRPr="004C2064" w:rsidTr="002F69AE">
        <w:tc>
          <w:tcPr>
            <w:tcW w:w="3798" w:type="dxa"/>
            <w:tcBorders>
              <w:right w:val="single" w:sz="4" w:space="0" w:color="auto"/>
            </w:tcBorders>
          </w:tcPr>
          <w:p w:rsidR="00D80C70" w:rsidRPr="004C2064" w:rsidRDefault="00D80C70" w:rsidP="002F1C6E">
            <w:pPr>
              <w:pStyle w:val="NoSpacing"/>
              <w:rPr>
                <w:b/>
              </w:rPr>
            </w:pPr>
            <w:r w:rsidRPr="004C2064">
              <w:rPr>
                <w:b/>
              </w:rPr>
              <w:t>Total comprehensive income attributable to:</w:t>
            </w:r>
          </w:p>
          <w:p w:rsidR="00D80C70" w:rsidRPr="004C2064" w:rsidRDefault="00D80C70" w:rsidP="0056448D">
            <w:pPr>
              <w:pStyle w:val="NoSpacing"/>
              <w:numPr>
                <w:ilvl w:val="0"/>
                <w:numId w:val="1"/>
              </w:numPr>
            </w:pPr>
            <w:r w:rsidRPr="004C2064">
              <w:t>Owners of the parent</w:t>
            </w:r>
          </w:p>
          <w:p w:rsidR="00D80C70" w:rsidRPr="004C2064" w:rsidRDefault="00D80C70" w:rsidP="0056448D">
            <w:pPr>
              <w:pStyle w:val="NoSpacing"/>
              <w:numPr>
                <w:ilvl w:val="0"/>
                <w:numId w:val="1"/>
              </w:numPr>
            </w:pPr>
            <w:r w:rsidRPr="004C2064">
              <w:t>Non-controlling interests</w:t>
            </w:r>
          </w:p>
        </w:tc>
        <w:tc>
          <w:tcPr>
            <w:tcW w:w="1530" w:type="dxa"/>
            <w:tcBorders>
              <w:top w:val="single" w:sz="4" w:space="0" w:color="auto"/>
              <w:left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p>
          <w:p w:rsidR="00E62707" w:rsidRDefault="00E62707" w:rsidP="009B2827">
            <w:pPr>
              <w:pStyle w:val="NoSpacing"/>
              <w:jc w:val="right"/>
            </w:pPr>
            <w:r>
              <w:t>(638)</w:t>
            </w:r>
          </w:p>
          <w:p w:rsidR="00E62707" w:rsidRPr="004C2064" w:rsidRDefault="00E62707" w:rsidP="009B2827">
            <w:pPr>
              <w:pStyle w:val="NoSpacing"/>
              <w:jc w:val="right"/>
            </w:pPr>
            <w:r>
              <w:t>-</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p>
          <w:p w:rsidR="00E62707" w:rsidRDefault="00E62707" w:rsidP="009B2827">
            <w:pPr>
              <w:pStyle w:val="NoSpacing"/>
              <w:jc w:val="right"/>
            </w:pPr>
            <w:r>
              <w:t>9,941</w:t>
            </w:r>
          </w:p>
          <w:p w:rsidR="00E62707" w:rsidRPr="004C2064" w:rsidRDefault="00E62707" w:rsidP="009B2827">
            <w:pPr>
              <w:pStyle w:val="NoSpacing"/>
              <w:jc w:val="right"/>
            </w:pPr>
            <w:r>
              <w:t>-</w:t>
            </w:r>
          </w:p>
        </w:tc>
        <w:tc>
          <w:tcPr>
            <w:tcW w:w="1368" w:type="dxa"/>
            <w:tcBorders>
              <w:top w:val="single" w:sz="4" w:space="0" w:color="auto"/>
              <w:bottom w:val="single" w:sz="4" w:space="0" w:color="auto"/>
              <w:right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r>
      <w:tr w:rsidR="00D80C70" w:rsidRPr="004C2064" w:rsidTr="002F69AE">
        <w:tc>
          <w:tcPr>
            <w:tcW w:w="3798" w:type="dxa"/>
          </w:tcPr>
          <w:p w:rsidR="00D80C70" w:rsidRPr="004C2064" w:rsidRDefault="00D80C70" w:rsidP="002F1C6E">
            <w:pPr>
              <w:pStyle w:val="NoSpacing"/>
            </w:pPr>
          </w:p>
        </w:tc>
        <w:tc>
          <w:tcPr>
            <w:tcW w:w="1530" w:type="dxa"/>
            <w:tcBorders>
              <w:top w:val="single" w:sz="4" w:space="0" w:color="auto"/>
              <w:bottom w:val="single" w:sz="4" w:space="0" w:color="auto"/>
            </w:tcBorders>
          </w:tcPr>
          <w:p w:rsidR="00D80C70" w:rsidRPr="004C2064" w:rsidRDefault="00D80C70" w:rsidP="009B2827">
            <w:pPr>
              <w:pStyle w:val="NoSpacing"/>
              <w:jc w:val="right"/>
            </w:pPr>
          </w:p>
        </w:tc>
        <w:tc>
          <w:tcPr>
            <w:tcW w:w="1436" w:type="dxa"/>
            <w:tcBorders>
              <w:top w:val="single" w:sz="4" w:space="0" w:color="auto"/>
              <w:bottom w:val="single" w:sz="4" w:space="0" w:color="auto"/>
            </w:tcBorders>
          </w:tcPr>
          <w:p w:rsidR="00D80C70" w:rsidRPr="004C2064" w:rsidRDefault="00D80C70" w:rsidP="009B2827">
            <w:pPr>
              <w:pStyle w:val="NoSpacing"/>
              <w:jc w:val="right"/>
            </w:pPr>
          </w:p>
        </w:tc>
        <w:tc>
          <w:tcPr>
            <w:tcW w:w="1444" w:type="dxa"/>
            <w:tcBorders>
              <w:top w:val="single" w:sz="4" w:space="0" w:color="auto"/>
              <w:bottom w:val="single" w:sz="4" w:space="0" w:color="auto"/>
            </w:tcBorders>
          </w:tcPr>
          <w:p w:rsidR="00D80C70" w:rsidRPr="004C2064" w:rsidRDefault="00D80C70" w:rsidP="009B2827">
            <w:pPr>
              <w:pStyle w:val="NoSpacing"/>
              <w:jc w:val="right"/>
            </w:pPr>
          </w:p>
        </w:tc>
        <w:tc>
          <w:tcPr>
            <w:tcW w:w="1368" w:type="dxa"/>
            <w:tcBorders>
              <w:top w:val="single" w:sz="4" w:space="0" w:color="auto"/>
              <w:bottom w:val="single" w:sz="4" w:space="0" w:color="auto"/>
            </w:tcBorders>
          </w:tcPr>
          <w:p w:rsidR="00D80C70" w:rsidRPr="004C2064" w:rsidRDefault="00D80C70" w:rsidP="009B2827">
            <w:pPr>
              <w:pStyle w:val="NoSpacing"/>
              <w:jc w:val="right"/>
            </w:pPr>
          </w:p>
        </w:tc>
      </w:tr>
      <w:tr w:rsidR="00D80C70" w:rsidRPr="004C2064" w:rsidTr="002F69AE">
        <w:tc>
          <w:tcPr>
            <w:tcW w:w="3798" w:type="dxa"/>
            <w:tcBorders>
              <w:right w:val="single" w:sz="4" w:space="0" w:color="auto"/>
            </w:tcBorders>
          </w:tcPr>
          <w:p w:rsidR="00D80C70" w:rsidRPr="004C2064" w:rsidRDefault="00D80C70" w:rsidP="002F1C6E">
            <w:pPr>
              <w:pStyle w:val="NoSpacing"/>
              <w:rPr>
                <w:b/>
              </w:rPr>
            </w:pPr>
            <w:r w:rsidRPr="004C2064">
              <w:rPr>
                <w:b/>
              </w:rPr>
              <w:t>Earnings per share (</w:t>
            </w:r>
            <w:proofErr w:type="spellStart"/>
            <w:r w:rsidRPr="004C2064">
              <w:rPr>
                <w:b/>
              </w:rPr>
              <w:t>Sen</w:t>
            </w:r>
            <w:proofErr w:type="spellEnd"/>
            <w:r w:rsidRPr="004C2064">
              <w:rPr>
                <w:b/>
              </w:rPr>
              <w:t>)</w:t>
            </w:r>
          </w:p>
          <w:p w:rsidR="00D80C70" w:rsidRPr="004C2064" w:rsidRDefault="00D80C70" w:rsidP="00D80C70">
            <w:pPr>
              <w:pStyle w:val="NoSpacing"/>
              <w:numPr>
                <w:ilvl w:val="0"/>
                <w:numId w:val="2"/>
              </w:numPr>
            </w:pPr>
            <w:r w:rsidRPr="004C2064">
              <w:t>Basic</w:t>
            </w:r>
          </w:p>
          <w:p w:rsidR="00D80C70" w:rsidRPr="004C2064" w:rsidRDefault="00D80C70" w:rsidP="00D80C70">
            <w:pPr>
              <w:pStyle w:val="NoSpacing"/>
              <w:numPr>
                <w:ilvl w:val="0"/>
                <w:numId w:val="2"/>
              </w:numPr>
            </w:pPr>
            <w:r w:rsidRPr="004C2064">
              <w:t>Diluted</w:t>
            </w:r>
          </w:p>
        </w:tc>
        <w:tc>
          <w:tcPr>
            <w:tcW w:w="1530" w:type="dxa"/>
            <w:tcBorders>
              <w:top w:val="single" w:sz="4" w:space="0" w:color="auto"/>
              <w:left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r>
              <w:t>(0.14)</w:t>
            </w:r>
          </w:p>
          <w:p w:rsidR="00E62707" w:rsidRPr="004C2064" w:rsidRDefault="00E62707" w:rsidP="009B2827">
            <w:pPr>
              <w:pStyle w:val="NoSpacing"/>
              <w:jc w:val="right"/>
            </w:pPr>
            <w:r>
              <w:t>-</w:t>
            </w:r>
          </w:p>
        </w:tc>
        <w:tc>
          <w:tcPr>
            <w:tcW w:w="1436" w:type="dxa"/>
            <w:tcBorders>
              <w:top w:val="single" w:sz="4" w:space="0" w:color="auto"/>
              <w:bottom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c>
          <w:tcPr>
            <w:tcW w:w="1444" w:type="dxa"/>
            <w:tcBorders>
              <w:top w:val="single" w:sz="4" w:space="0" w:color="auto"/>
              <w:bottom w:val="single" w:sz="4" w:space="0" w:color="auto"/>
            </w:tcBorders>
          </w:tcPr>
          <w:p w:rsidR="00D80C70" w:rsidRDefault="00D80C70" w:rsidP="009B2827">
            <w:pPr>
              <w:pStyle w:val="NoSpacing"/>
              <w:jc w:val="right"/>
            </w:pPr>
          </w:p>
          <w:p w:rsidR="00E62707" w:rsidRDefault="00E62707" w:rsidP="009B2827">
            <w:pPr>
              <w:pStyle w:val="NoSpacing"/>
              <w:jc w:val="right"/>
            </w:pPr>
            <w:r>
              <w:t>2.14</w:t>
            </w:r>
          </w:p>
          <w:p w:rsidR="00E62707" w:rsidRPr="004C2064" w:rsidRDefault="00E62707" w:rsidP="009B2827">
            <w:pPr>
              <w:pStyle w:val="NoSpacing"/>
              <w:jc w:val="right"/>
            </w:pPr>
            <w:r>
              <w:t>-</w:t>
            </w:r>
          </w:p>
        </w:tc>
        <w:tc>
          <w:tcPr>
            <w:tcW w:w="1368" w:type="dxa"/>
            <w:tcBorders>
              <w:top w:val="single" w:sz="4" w:space="0" w:color="auto"/>
              <w:bottom w:val="single" w:sz="4" w:space="0" w:color="auto"/>
              <w:right w:val="single" w:sz="4" w:space="0" w:color="auto"/>
            </w:tcBorders>
          </w:tcPr>
          <w:p w:rsidR="00D80C70" w:rsidRPr="004C2064" w:rsidRDefault="00D80C70" w:rsidP="009B2827">
            <w:pPr>
              <w:pStyle w:val="NoSpacing"/>
              <w:jc w:val="right"/>
            </w:pPr>
          </w:p>
          <w:p w:rsidR="00D80C70" w:rsidRPr="004C2064" w:rsidRDefault="00D80C70" w:rsidP="009B2827">
            <w:pPr>
              <w:pStyle w:val="NoSpacing"/>
              <w:jc w:val="right"/>
            </w:pPr>
            <w:r w:rsidRPr="004C2064">
              <w:t>N/A</w:t>
            </w:r>
          </w:p>
          <w:p w:rsidR="00D80C70" w:rsidRPr="004C2064" w:rsidRDefault="00D80C70" w:rsidP="009B2827">
            <w:pPr>
              <w:pStyle w:val="NoSpacing"/>
              <w:jc w:val="right"/>
            </w:pPr>
            <w:r w:rsidRPr="004C2064">
              <w:t>N/A</w:t>
            </w:r>
          </w:p>
        </w:tc>
      </w:tr>
    </w:tbl>
    <w:p w:rsidR="006E460C" w:rsidRDefault="006E460C" w:rsidP="002F1C6E">
      <w:pPr>
        <w:pStyle w:val="NoSpacing"/>
        <w:rPr>
          <w:sz w:val="20"/>
          <w:szCs w:val="20"/>
        </w:rPr>
      </w:pPr>
    </w:p>
    <w:p w:rsidR="00D80C70" w:rsidRPr="00120E3B" w:rsidRDefault="00D80C70" w:rsidP="002F1C6E">
      <w:pPr>
        <w:pStyle w:val="NoSpacing"/>
        <w:rPr>
          <w:sz w:val="20"/>
          <w:szCs w:val="20"/>
        </w:rPr>
      </w:pPr>
      <w:r w:rsidRPr="00120E3B">
        <w:rPr>
          <w:sz w:val="20"/>
          <w:szCs w:val="20"/>
        </w:rPr>
        <w:t>Notes:</w:t>
      </w:r>
    </w:p>
    <w:p w:rsidR="009B2827" w:rsidRDefault="00985E03" w:rsidP="009B2827">
      <w:pPr>
        <w:pStyle w:val="NoSpacing"/>
        <w:numPr>
          <w:ilvl w:val="0"/>
          <w:numId w:val="9"/>
        </w:numPr>
        <w:jc w:val="both"/>
        <w:rPr>
          <w:sz w:val="20"/>
          <w:szCs w:val="20"/>
        </w:rPr>
      </w:pPr>
      <w:r w:rsidRPr="00120E3B">
        <w:rPr>
          <w:sz w:val="20"/>
          <w:szCs w:val="20"/>
        </w:rPr>
        <w:t xml:space="preserve">The above </w:t>
      </w:r>
      <w:proofErr w:type="spellStart"/>
      <w:r w:rsidR="006A4C5E" w:rsidRPr="00120E3B">
        <w:rPr>
          <w:sz w:val="20"/>
          <w:szCs w:val="20"/>
        </w:rPr>
        <w:t>proforma</w:t>
      </w:r>
      <w:proofErr w:type="spellEnd"/>
      <w:r w:rsidR="006A4C5E" w:rsidRPr="00120E3B">
        <w:rPr>
          <w:sz w:val="20"/>
          <w:szCs w:val="20"/>
        </w:rPr>
        <w:t xml:space="preserve"> </w:t>
      </w:r>
      <w:r w:rsidRPr="00120E3B">
        <w:rPr>
          <w:sz w:val="20"/>
          <w:szCs w:val="20"/>
        </w:rPr>
        <w:t xml:space="preserve">unaudited condensed consolidated statement of comprehensive income is for illustration </w:t>
      </w:r>
      <w:r w:rsidR="00C639AA" w:rsidRPr="00120E3B">
        <w:rPr>
          <w:sz w:val="20"/>
          <w:szCs w:val="20"/>
        </w:rPr>
        <w:t>purpose only.</w:t>
      </w:r>
      <w:r w:rsidR="00A93566" w:rsidRPr="00120E3B">
        <w:rPr>
          <w:sz w:val="20"/>
          <w:szCs w:val="20"/>
        </w:rPr>
        <w:t xml:space="preserve"> </w:t>
      </w:r>
      <w:r w:rsidR="002A6FCF">
        <w:rPr>
          <w:sz w:val="20"/>
          <w:szCs w:val="20"/>
        </w:rPr>
        <w:t xml:space="preserve">It is prepared </w:t>
      </w:r>
      <w:r w:rsidR="009B2827">
        <w:rPr>
          <w:sz w:val="20"/>
          <w:szCs w:val="20"/>
        </w:rPr>
        <w:t xml:space="preserve">based on the results of the Company and its subsidiaries assuming the Group has existed since inception. </w:t>
      </w:r>
    </w:p>
    <w:p w:rsidR="009B2827" w:rsidRDefault="006655B8" w:rsidP="009B2827">
      <w:pPr>
        <w:pStyle w:val="NoSpacing"/>
        <w:numPr>
          <w:ilvl w:val="0"/>
          <w:numId w:val="9"/>
        </w:numPr>
        <w:jc w:val="both"/>
        <w:rPr>
          <w:sz w:val="20"/>
          <w:szCs w:val="20"/>
        </w:rPr>
      </w:pPr>
      <w:proofErr w:type="spellStart"/>
      <w:r>
        <w:rPr>
          <w:sz w:val="20"/>
          <w:szCs w:val="20"/>
        </w:rPr>
        <w:t>Pesona</w:t>
      </w:r>
      <w:proofErr w:type="spellEnd"/>
      <w:r>
        <w:rPr>
          <w:sz w:val="20"/>
          <w:szCs w:val="20"/>
        </w:rPr>
        <w:t xml:space="preserve"> Metro Holdings </w:t>
      </w:r>
      <w:proofErr w:type="spellStart"/>
      <w:r>
        <w:rPr>
          <w:sz w:val="20"/>
          <w:szCs w:val="20"/>
        </w:rPr>
        <w:t>Berhad</w:t>
      </w:r>
      <w:proofErr w:type="spellEnd"/>
      <w:r>
        <w:rPr>
          <w:sz w:val="20"/>
          <w:szCs w:val="20"/>
        </w:rPr>
        <w:t xml:space="preserve"> (“</w:t>
      </w:r>
      <w:r w:rsidR="00985E03" w:rsidRPr="00120E3B">
        <w:rPr>
          <w:sz w:val="20"/>
          <w:szCs w:val="20"/>
        </w:rPr>
        <w:t>PMHB</w:t>
      </w:r>
      <w:r>
        <w:rPr>
          <w:sz w:val="20"/>
          <w:szCs w:val="20"/>
        </w:rPr>
        <w:t>”)</w:t>
      </w:r>
      <w:r w:rsidR="00985E03" w:rsidRPr="00120E3B">
        <w:rPr>
          <w:sz w:val="20"/>
          <w:szCs w:val="20"/>
        </w:rPr>
        <w:t xml:space="preserve"> was incorporated in Malaysia on 19 August 2011 as a special purpose vehicle to </w:t>
      </w:r>
      <w:r w:rsidR="006A4C5E" w:rsidRPr="00120E3B">
        <w:rPr>
          <w:sz w:val="20"/>
          <w:szCs w:val="20"/>
        </w:rPr>
        <w:t xml:space="preserve">assume the listing status of </w:t>
      </w:r>
      <w:proofErr w:type="spellStart"/>
      <w:r w:rsidR="006A4C5E" w:rsidRPr="00120E3B">
        <w:rPr>
          <w:sz w:val="20"/>
          <w:szCs w:val="20"/>
        </w:rPr>
        <w:t>Mithril</w:t>
      </w:r>
      <w:proofErr w:type="spellEnd"/>
      <w:r w:rsidR="006A4C5E" w:rsidRPr="00120E3B">
        <w:rPr>
          <w:sz w:val="20"/>
          <w:szCs w:val="20"/>
        </w:rPr>
        <w:t xml:space="preserve"> </w:t>
      </w:r>
      <w:proofErr w:type="spellStart"/>
      <w:r w:rsidR="006A4C5E" w:rsidRPr="00120E3B">
        <w:rPr>
          <w:sz w:val="20"/>
          <w:szCs w:val="20"/>
        </w:rPr>
        <w:t>Berhad</w:t>
      </w:r>
      <w:proofErr w:type="spellEnd"/>
      <w:r w:rsidR="006A4C5E" w:rsidRPr="00120E3B">
        <w:rPr>
          <w:sz w:val="20"/>
          <w:szCs w:val="20"/>
        </w:rPr>
        <w:t xml:space="preserve"> pursuant to the </w:t>
      </w:r>
      <w:r w:rsidR="00985E03" w:rsidRPr="00120E3B">
        <w:rPr>
          <w:sz w:val="20"/>
          <w:szCs w:val="20"/>
        </w:rPr>
        <w:t xml:space="preserve">Proposed </w:t>
      </w:r>
      <w:r w:rsidR="006A4C5E" w:rsidRPr="00120E3B">
        <w:rPr>
          <w:sz w:val="20"/>
          <w:szCs w:val="20"/>
        </w:rPr>
        <w:t>Restructuring Exercise as disclosed in the Explanatory Statement-Cum-Circular dated 11 July 2012. The Proposed Restructuring Exercise was completed on 28 September 2012 and PMHB was listed on 10</w:t>
      </w:r>
      <w:r w:rsidR="00A93566" w:rsidRPr="00120E3B">
        <w:rPr>
          <w:sz w:val="20"/>
          <w:szCs w:val="20"/>
        </w:rPr>
        <w:t xml:space="preserve"> October 2012. Accordingly, the first interim financial report on the condensed consolidated </w:t>
      </w:r>
      <w:r w:rsidR="00125E4F" w:rsidRPr="00120E3B">
        <w:rPr>
          <w:sz w:val="20"/>
          <w:szCs w:val="20"/>
        </w:rPr>
        <w:t>statement of comprehensive income</w:t>
      </w:r>
      <w:r w:rsidR="00A93566" w:rsidRPr="00120E3B">
        <w:rPr>
          <w:sz w:val="20"/>
          <w:szCs w:val="20"/>
        </w:rPr>
        <w:t xml:space="preserve"> is for the financial period commencing</w:t>
      </w:r>
      <w:r w:rsidR="004C2064">
        <w:rPr>
          <w:sz w:val="20"/>
          <w:szCs w:val="20"/>
        </w:rPr>
        <w:t xml:space="preserve"> from</w:t>
      </w:r>
      <w:r w:rsidR="00A93566" w:rsidRPr="00120E3B">
        <w:rPr>
          <w:sz w:val="20"/>
          <w:szCs w:val="20"/>
        </w:rPr>
        <w:t xml:space="preserve"> 1 October 2012.</w:t>
      </w:r>
    </w:p>
    <w:p w:rsidR="00A93566" w:rsidRDefault="00120E3B" w:rsidP="009B2827">
      <w:pPr>
        <w:pStyle w:val="NoSpacing"/>
        <w:numPr>
          <w:ilvl w:val="0"/>
          <w:numId w:val="9"/>
        </w:numPr>
        <w:jc w:val="both"/>
        <w:rPr>
          <w:sz w:val="20"/>
          <w:szCs w:val="20"/>
        </w:rPr>
      </w:pPr>
      <w:r w:rsidRPr="009B2827">
        <w:rPr>
          <w:sz w:val="20"/>
          <w:szCs w:val="20"/>
        </w:rPr>
        <w:t>N/A:</w:t>
      </w:r>
      <w:r w:rsidR="00A93566" w:rsidRPr="009B2827">
        <w:rPr>
          <w:sz w:val="20"/>
          <w:szCs w:val="20"/>
        </w:rPr>
        <w:t xml:space="preserve"> Not applicable.</w:t>
      </w:r>
    </w:p>
    <w:p w:rsidR="00120E3B" w:rsidRDefault="006E460C" w:rsidP="004C2064">
      <w:pPr>
        <w:pStyle w:val="NoSpacing"/>
        <w:jc w:val="both"/>
      </w:pPr>
      <w:r>
        <w:t>T</w:t>
      </w:r>
      <w:r w:rsidR="00120E3B">
        <w:t>he unaudited condensed consolidated statement of comprehensive income should be read in</w:t>
      </w:r>
      <w:r w:rsidR="004C2064">
        <w:t xml:space="preserve"> </w:t>
      </w:r>
      <w:r w:rsidR="00120E3B">
        <w:t>conjunction with the Accountants’ Report on the PMHB Group for the financial year ended 31 December 2011 as disclosed in the Explanatory Statement-Cum-Circular dated 11 July 2012.</w:t>
      </w:r>
    </w:p>
    <w:p w:rsidR="00120E3B" w:rsidRDefault="00120E3B" w:rsidP="00A93566">
      <w:pPr>
        <w:pStyle w:val="NoSpacing"/>
        <w:ind w:left="720" w:hanging="720"/>
        <w:jc w:val="both"/>
      </w:pPr>
    </w:p>
    <w:p w:rsidR="00120E3B" w:rsidRPr="002F1C6E" w:rsidRDefault="00120E3B" w:rsidP="00120E3B">
      <w:pPr>
        <w:pBdr>
          <w:bottom w:val="single" w:sz="6" w:space="1" w:color="auto"/>
        </w:pBdr>
        <w:rPr>
          <w:rFonts w:ascii="Arial" w:hAnsi="Arial" w:cs="Arial"/>
          <w:b/>
          <w:sz w:val="20"/>
          <w:szCs w:val="20"/>
        </w:rPr>
      </w:pPr>
      <w:r w:rsidRPr="002F1C6E">
        <w:rPr>
          <w:rFonts w:ascii="Arial" w:hAnsi="Arial" w:cs="Arial"/>
          <w:b/>
          <w:sz w:val="24"/>
          <w:szCs w:val="24"/>
        </w:rPr>
        <w:t xml:space="preserve">PESONA METRO HOLDINGS BERHAD </w:t>
      </w:r>
      <w:r w:rsidRPr="002F1C6E">
        <w:rPr>
          <w:rFonts w:ascii="Arial" w:hAnsi="Arial" w:cs="Arial"/>
          <w:b/>
          <w:sz w:val="20"/>
          <w:szCs w:val="20"/>
        </w:rPr>
        <w:t>(Co. No. 957876-T)</w:t>
      </w:r>
    </w:p>
    <w:p w:rsidR="00120E3B" w:rsidRPr="004C2064" w:rsidRDefault="00120E3B" w:rsidP="00120E3B">
      <w:pPr>
        <w:pStyle w:val="NoSpacing"/>
        <w:rPr>
          <w:b/>
        </w:rPr>
      </w:pPr>
      <w:r w:rsidRPr="004C2064">
        <w:rPr>
          <w:b/>
        </w:rPr>
        <w:t>UNAUDITED CONDENSED CONSOLIDATED S</w:t>
      </w:r>
      <w:r w:rsidR="00981CD4">
        <w:rPr>
          <w:b/>
        </w:rPr>
        <w:t>TATEMENT OF FINANCIAL POSITION</w:t>
      </w:r>
    </w:p>
    <w:p w:rsidR="00120E3B" w:rsidRPr="004C2064" w:rsidRDefault="00981CD4" w:rsidP="00120E3B">
      <w:pPr>
        <w:pStyle w:val="NoSpacing"/>
        <w:rPr>
          <w:b/>
        </w:rPr>
      </w:pPr>
      <w:r>
        <w:rPr>
          <w:b/>
        </w:rPr>
        <w:t>AS AT 30 SEPTEMBER 2012</w:t>
      </w:r>
    </w:p>
    <w:p w:rsidR="00120E3B" w:rsidRPr="004C2064" w:rsidRDefault="00120E3B" w:rsidP="00120E3B">
      <w:pPr>
        <w:pStyle w:val="NoSpacing"/>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6376"/>
        <w:gridCol w:w="1292"/>
        <w:gridCol w:w="1350"/>
      </w:tblGrid>
      <w:tr w:rsidR="00981CD4" w:rsidRPr="004C2064" w:rsidTr="00C92A5C">
        <w:tc>
          <w:tcPr>
            <w:tcW w:w="6376" w:type="dxa"/>
            <w:tcBorders>
              <w:top w:val="nil"/>
              <w:left w:val="nil"/>
              <w:bottom w:val="nil"/>
              <w:right w:val="nil"/>
            </w:tcBorders>
          </w:tcPr>
          <w:p w:rsidR="00981CD4" w:rsidRPr="00981CD4" w:rsidRDefault="00981CD4" w:rsidP="004902A0">
            <w:pPr>
              <w:pStyle w:val="NoSpacing"/>
              <w:jc w:val="center"/>
              <w:rPr>
                <w:sz w:val="20"/>
                <w:szCs w:val="20"/>
              </w:rPr>
            </w:pPr>
          </w:p>
        </w:tc>
        <w:tc>
          <w:tcPr>
            <w:tcW w:w="1292"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(Unaudited)</w:t>
            </w:r>
          </w:p>
        </w:tc>
        <w:tc>
          <w:tcPr>
            <w:tcW w:w="1350"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(Unaudited)</w:t>
            </w:r>
          </w:p>
        </w:tc>
      </w:tr>
      <w:tr w:rsidR="00981CD4" w:rsidRPr="004C2064" w:rsidTr="00C92A5C">
        <w:tc>
          <w:tcPr>
            <w:tcW w:w="6376" w:type="dxa"/>
            <w:tcBorders>
              <w:top w:val="nil"/>
              <w:left w:val="nil"/>
              <w:bottom w:val="nil"/>
              <w:right w:val="nil"/>
            </w:tcBorders>
          </w:tcPr>
          <w:p w:rsidR="00981CD4" w:rsidRPr="00981CD4" w:rsidRDefault="00981CD4" w:rsidP="004902A0">
            <w:pPr>
              <w:pStyle w:val="NoSpacing"/>
              <w:jc w:val="center"/>
              <w:rPr>
                <w:sz w:val="20"/>
                <w:szCs w:val="20"/>
              </w:rPr>
            </w:pPr>
          </w:p>
        </w:tc>
        <w:tc>
          <w:tcPr>
            <w:tcW w:w="1292"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30.9.2012</w:t>
            </w:r>
          </w:p>
        </w:tc>
        <w:tc>
          <w:tcPr>
            <w:tcW w:w="1350" w:type="dxa"/>
            <w:tcBorders>
              <w:top w:val="nil"/>
              <w:left w:val="nil"/>
              <w:bottom w:val="nil"/>
              <w:right w:val="nil"/>
            </w:tcBorders>
          </w:tcPr>
          <w:p w:rsidR="00981CD4" w:rsidRPr="00981CD4" w:rsidRDefault="00981CD4" w:rsidP="00C92A5C">
            <w:pPr>
              <w:pStyle w:val="NoSpacing"/>
              <w:jc w:val="right"/>
              <w:rPr>
                <w:sz w:val="20"/>
                <w:szCs w:val="20"/>
              </w:rPr>
            </w:pPr>
            <w:r w:rsidRPr="00981CD4">
              <w:rPr>
                <w:sz w:val="20"/>
                <w:szCs w:val="20"/>
              </w:rPr>
              <w:t>31.12.2011</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ASSETS</w:t>
            </w:r>
          </w:p>
        </w:tc>
        <w:tc>
          <w:tcPr>
            <w:tcW w:w="1292" w:type="dxa"/>
            <w:tcBorders>
              <w:top w:val="nil"/>
              <w:left w:val="nil"/>
              <w:bottom w:val="nil"/>
              <w:right w:val="nil"/>
            </w:tcBorders>
          </w:tcPr>
          <w:p w:rsidR="00C92A5C" w:rsidRPr="00981CD4" w:rsidRDefault="00C92A5C" w:rsidP="004902A0">
            <w:pPr>
              <w:pStyle w:val="NoSpacing"/>
              <w:jc w:val="right"/>
              <w:rPr>
                <w:sz w:val="20"/>
                <w:szCs w:val="20"/>
              </w:rPr>
            </w:pPr>
            <w:r w:rsidRPr="00981CD4">
              <w:rPr>
                <w:sz w:val="20"/>
                <w:szCs w:val="20"/>
              </w:rPr>
              <w:t>RM’000</w:t>
            </w:r>
          </w:p>
        </w:tc>
        <w:tc>
          <w:tcPr>
            <w:tcW w:w="1350" w:type="dxa"/>
            <w:tcBorders>
              <w:top w:val="nil"/>
              <w:left w:val="nil"/>
              <w:bottom w:val="nil"/>
              <w:right w:val="nil"/>
            </w:tcBorders>
          </w:tcPr>
          <w:p w:rsidR="00C92A5C" w:rsidRPr="00981CD4" w:rsidRDefault="00C92A5C" w:rsidP="004902A0">
            <w:pPr>
              <w:pStyle w:val="NoSpacing"/>
              <w:jc w:val="right"/>
              <w:rPr>
                <w:sz w:val="20"/>
                <w:szCs w:val="20"/>
              </w:rPr>
            </w:pPr>
            <w:r w:rsidRPr="00981CD4">
              <w:rPr>
                <w:sz w:val="20"/>
                <w:szCs w:val="20"/>
              </w:rPr>
              <w:t>RM’000</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Non-current assets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p>
        </w:tc>
        <w:tc>
          <w:tcPr>
            <w:tcW w:w="1350" w:type="dxa"/>
            <w:tcBorders>
              <w:top w:val="nil"/>
              <w:left w:val="nil"/>
              <w:bottom w:val="nil"/>
              <w:right w:val="nil"/>
            </w:tcBorders>
          </w:tcPr>
          <w:p w:rsidR="00C92A5C" w:rsidRPr="00981CD4" w:rsidRDefault="00C92A5C" w:rsidP="00C92A5C">
            <w:pPr>
              <w:pStyle w:val="NoSpacing"/>
              <w:jc w:val="right"/>
              <w:rPr>
                <w:sz w:val="20"/>
                <w:szCs w:val="20"/>
              </w:rPr>
            </w:pPr>
          </w:p>
        </w:tc>
      </w:tr>
      <w:tr w:rsidR="00C92A5C" w:rsidRPr="004C2064" w:rsidTr="00C92A5C">
        <w:tc>
          <w:tcPr>
            <w:tcW w:w="6376" w:type="dxa"/>
            <w:tcBorders>
              <w:top w:val="nil"/>
              <w:left w:val="nil"/>
              <w:bottom w:val="nil"/>
              <w:right w:val="nil"/>
            </w:tcBorders>
          </w:tcPr>
          <w:p w:rsidR="00C92A5C" w:rsidRPr="00981CD4" w:rsidRDefault="00C92A5C" w:rsidP="00E81E5B">
            <w:pPr>
              <w:pStyle w:val="NoSpacing"/>
              <w:rPr>
                <w:sz w:val="20"/>
                <w:szCs w:val="20"/>
              </w:rPr>
            </w:pPr>
            <w:r w:rsidRPr="00981CD4">
              <w:rPr>
                <w:sz w:val="20"/>
                <w:szCs w:val="20"/>
              </w:rPr>
              <w:t>Property, plant and equipment</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14,057</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Trade receivables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10,761</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r>
              <w:rPr>
                <w:sz w:val="20"/>
                <w:szCs w:val="20"/>
              </w:rPr>
              <w:t>Deferred tax assets</w:t>
            </w:r>
          </w:p>
        </w:tc>
        <w:tc>
          <w:tcPr>
            <w:tcW w:w="1292"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205</w:t>
            </w:r>
          </w:p>
        </w:tc>
        <w:tc>
          <w:tcPr>
            <w:tcW w:w="1350"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25,023</w:t>
            </w:r>
          </w:p>
        </w:tc>
        <w:tc>
          <w:tcPr>
            <w:tcW w:w="1350" w:type="dxa"/>
            <w:tcBorders>
              <w:top w:val="single" w:sz="6" w:space="0" w:color="auto"/>
              <w:left w:val="nil"/>
              <w:bottom w:val="single" w:sz="6" w:space="0" w:color="auto"/>
              <w:right w:val="nil"/>
            </w:tcBorders>
          </w:tcPr>
          <w:p w:rsidR="00C92A5C"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Current assets</w:t>
            </w:r>
          </w:p>
        </w:tc>
        <w:tc>
          <w:tcPr>
            <w:tcW w:w="1292"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c>
          <w:tcPr>
            <w:tcW w:w="1350"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Inventories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2,735</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8653CF">
            <w:pPr>
              <w:pStyle w:val="NoSpacing"/>
              <w:rPr>
                <w:sz w:val="20"/>
                <w:szCs w:val="20"/>
              </w:rPr>
            </w:pPr>
            <w:r w:rsidRPr="00981CD4">
              <w:rPr>
                <w:sz w:val="20"/>
                <w:szCs w:val="20"/>
              </w:rPr>
              <w:t>Trade and other receivables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55,592</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Amount due from customers for contract</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5,221</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r>
              <w:rPr>
                <w:sz w:val="20"/>
                <w:szCs w:val="20"/>
              </w:rPr>
              <w:t>Tax recoverable</w:t>
            </w:r>
          </w:p>
        </w:tc>
        <w:tc>
          <w:tcPr>
            <w:tcW w:w="1292" w:type="dxa"/>
            <w:tcBorders>
              <w:top w:val="nil"/>
              <w:left w:val="nil"/>
              <w:bottom w:val="nil"/>
              <w:right w:val="nil"/>
            </w:tcBorders>
          </w:tcPr>
          <w:p w:rsidR="00C92A5C" w:rsidRDefault="00C92A5C" w:rsidP="00C92A5C">
            <w:pPr>
              <w:pStyle w:val="NoSpacing"/>
              <w:jc w:val="right"/>
              <w:rPr>
                <w:sz w:val="20"/>
                <w:szCs w:val="20"/>
              </w:rPr>
            </w:pPr>
            <w:r>
              <w:rPr>
                <w:sz w:val="20"/>
                <w:szCs w:val="20"/>
              </w:rPr>
              <w:t>64</w:t>
            </w:r>
          </w:p>
        </w:tc>
        <w:tc>
          <w:tcPr>
            <w:tcW w:w="1350" w:type="dxa"/>
            <w:tcBorders>
              <w:top w:val="nil"/>
              <w:left w:val="nil"/>
              <w:bottom w:val="nil"/>
              <w:right w:val="nil"/>
            </w:tcBorders>
          </w:tcPr>
          <w:p w:rsidR="00C92A5C" w:rsidRDefault="00C92A5C" w:rsidP="00C92A5C">
            <w:pPr>
              <w:pStyle w:val="NoSpacing"/>
              <w:jc w:val="right"/>
              <w:rPr>
                <w:sz w:val="20"/>
                <w:szCs w:val="20"/>
              </w:rPr>
            </w:pPr>
            <w:r>
              <w:rPr>
                <w:sz w:val="20"/>
                <w:szCs w:val="20"/>
              </w:rPr>
              <w:t>N/A</w:t>
            </w:r>
          </w:p>
        </w:tc>
      </w:tr>
      <w:tr w:rsidR="00C92A5C" w:rsidRPr="004C2064" w:rsidTr="00C92A5C">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Fixed deposits with licensed banks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31,066</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336DE1">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Cash and bank balances</w:t>
            </w:r>
          </w:p>
        </w:tc>
        <w:tc>
          <w:tcPr>
            <w:tcW w:w="1292"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5,281</w:t>
            </w:r>
          </w:p>
        </w:tc>
        <w:tc>
          <w:tcPr>
            <w:tcW w:w="1350"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99,959</w:t>
            </w:r>
          </w:p>
        </w:tc>
        <w:tc>
          <w:tcPr>
            <w:tcW w:w="1350" w:type="dxa"/>
            <w:tcBorders>
              <w:top w:val="single" w:sz="6" w:space="0" w:color="auto"/>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981CD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TOTAL ASSETS</w:t>
            </w:r>
          </w:p>
        </w:tc>
        <w:tc>
          <w:tcPr>
            <w:tcW w:w="1292" w:type="dxa"/>
            <w:tcBorders>
              <w:top w:val="single" w:sz="6" w:space="0" w:color="auto"/>
              <w:left w:val="nil"/>
              <w:bottom w:val="single" w:sz="6" w:space="0" w:color="auto"/>
              <w:right w:val="nil"/>
            </w:tcBorders>
          </w:tcPr>
          <w:p w:rsidR="00C92A5C" w:rsidRPr="00336DE1" w:rsidRDefault="00C92A5C" w:rsidP="00C92A5C">
            <w:pPr>
              <w:pStyle w:val="NoSpacing"/>
              <w:jc w:val="right"/>
              <w:rPr>
                <w:b/>
                <w:sz w:val="20"/>
                <w:szCs w:val="20"/>
              </w:rPr>
            </w:pPr>
            <w:r w:rsidRPr="00336DE1">
              <w:rPr>
                <w:b/>
                <w:sz w:val="20"/>
                <w:szCs w:val="20"/>
              </w:rPr>
              <w:t>124,982</w:t>
            </w:r>
          </w:p>
        </w:tc>
        <w:tc>
          <w:tcPr>
            <w:tcW w:w="1350" w:type="dxa"/>
            <w:tcBorders>
              <w:top w:val="single" w:sz="6" w:space="0" w:color="auto"/>
              <w:left w:val="nil"/>
              <w:bottom w:val="single" w:sz="6" w:space="0" w:color="auto"/>
              <w:right w:val="nil"/>
            </w:tcBorders>
          </w:tcPr>
          <w:p w:rsidR="00C92A5C" w:rsidRPr="00336DE1" w:rsidRDefault="00C92A5C" w:rsidP="00C92A5C">
            <w:pPr>
              <w:pStyle w:val="NoSpacing"/>
              <w:jc w:val="right"/>
              <w:rPr>
                <w:b/>
                <w:sz w:val="20"/>
                <w:szCs w:val="20"/>
              </w:rPr>
            </w:pPr>
            <w:r w:rsidRPr="00336DE1">
              <w:rPr>
                <w:b/>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c>
          <w:tcPr>
            <w:tcW w:w="1350"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EQUITY AND LIABILITIES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p>
        </w:tc>
        <w:tc>
          <w:tcPr>
            <w:tcW w:w="1350" w:type="dxa"/>
            <w:tcBorders>
              <w:top w:val="nil"/>
              <w:left w:val="nil"/>
              <w:bottom w:val="nil"/>
              <w:right w:val="nil"/>
            </w:tcBorders>
          </w:tcPr>
          <w:p w:rsidR="00C92A5C" w:rsidRPr="00981CD4" w:rsidRDefault="00C92A5C" w:rsidP="00C92A5C">
            <w:pPr>
              <w:pStyle w:val="NoSpacing"/>
              <w:jc w:val="right"/>
              <w:rPr>
                <w:sz w:val="20"/>
                <w:szCs w:val="20"/>
              </w:rPr>
            </w:pP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Equity attributable to owners of the parent</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p>
        </w:tc>
        <w:tc>
          <w:tcPr>
            <w:tcW w:w="1350" w:type="dxa"/>
            <w:tcBorders>
              <w:top w:val="nil"/>
              <w:left w:val="nil"/>
              <w:bottom w:val="nil"/>
              <w:right w:val="nil"/>
            </w:tcBorders>
          </w:tcPr>
          <w:p w:rsidR="00C92A5C" w:rsidRPr="00981CD4" w:rsidRDefault="00C92A5C" w:rsidP="00C92A5C">
            <w:pPr>
              <w:pStyle w:val="NoSpacing"/>
              <w:jc w:val="right"/>
              <w:rPr>
                <w:sz w:val="20"/>
                <w:szCs w:val="20"/>
              </w:rPr>
            </w:pP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Share capital</w:t>
            </w:r>
          </w:p>
        </w:tc>
        <w:tc>
          <w:tcPr>
            <w:tcW w:w="1292" w:type="dxa"/>
            <w:tcBorders>
              <w:top w:val="nil"/>
              <w:left w:val="nil"/>
              <w:bottom w:val="nil"/>
              <w:right w:val="nil"/>
            </w:tcBorders>
          </w:tcPr>
          <w:p w:rsidR="00C92A5C" w:rsidRPr="00981CD4" w:rsidRDefault="002F69AE" w:rsidP="00C92A5C">
            <w:pPr>
              <w:pStyle w:val="NoSpacing"/>
              <w:jc w:val="right"/>
              <w:rPr>
                <w:sz w:val="20"/>
                <w:szCs w:val="20"/>
              </w:rPr>
            </w:pPr>
            <w:r>
              <w:rPr>
                <w:sz w:val="20"/>
                <w:szCs w:val="20"/>
              </w:rPr>
              <w:t>115,955</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F37D49">
            <w:pPr>
              <w:pStyle w:val="NoSpacing"/>
              <w:rPr>
                <w:sz w:val="20"/>
                <w:szCs w:val="20"/>
              </w:rPr>
            </w:pPr>
            <w:r w:rsidRPr="00981CD4">
              <w:rPr>
                <w:sz w:val="20"/>
                <w:szCs w:val="20"/>
              </w:rPr>
              <w:t xml:space="preserve">Reverse </w:t>
            </w:r>
            <w:r>
              <w:rPr>
                <w:sz w:val="20"/>
                <w:szCs w:val="20"/>
              </w:rPr>
              <w:t>acquisition</w:t>
            </w:r>
            <w:r w:rsidRPr="00981CD4">
              <w:rPr>
                <w:sz w:val="20"/>
                <w:szCs w:val="20"/>
              </w:rPr>
              <w:t xml:space="preserve"> reserve</w:t>
            </w:r>
          </w:p>
        </w:tc>
        <w:tc>
          <w:tcPr>
            <w:tcW w:w="1292" w:type="dxa"/>
            <w:tcBorders>
              <w:top w:val="nil"/>
              <w:left w:val="nil"/>
              <w:bottom w:val="nil"/>
              <w:right w:val="nil"/>
            </w:tcBorders>
          </w:tcPr>
          <w:p w:rsidR="00C92A5C" w:rsidRPr="00981CD4" w:rsidRDefault="002F69AE" w:rsidP="00C92A5C">
            <w:pPr>
              <w:pStyle w:val="NoSpacing"/>
              <w:jc w:val="right"/>
              <w:rPr>
                <w:sz w:val="20"/>
                <w:szCs w:val="20"/>
              </w:rPr>
            </w:pPr>
            <w:r>
              <w:rPr>
                <w:sz w:val="20"/>
                <w:szCs w:val="20"/>
              </w:rPr>
              <w:t>(91,000)</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Retained earnings</w:t>
            </w:r>
          </w:p>
        </w:tc>
        <w:tc>
          <w:tcPr>
            <w:tcW w:w="1292" w:type="dxa"/>
            <w:tcBorders>
              <w:top w:val="nil"/>
              <w:left w:val="nil"/>
              <w:bottom w:val="single" w:sz="6" w:space="0" w:color="auto"/>
              <w:right w:val="nil"/>
            </w:tcBorders>
          </w:tcPr>
          <w:p w:rsidR="00C92A5C" w:rsidRPr="00981CD4" w:rsidRDefault="002F69AE" w:rsidP="00C92A5C">
            <w:pPr>
              <w:pStyle w:val="NoSpacing"/>
              <w:jc w:val="right"/>
              <w:rPr>
                <w:sz w:val="20"/>
                <w:szCs w:val="20"/>
              </w:rPr>
            </w:pPr>
            <w:r>
              <w:rPr>
                <w:sz w:val="20"/>
                <w:szCs w:val="20"/>
              </w:rPr>
              <w:t>36,698</w:t>
            </w:r>
          </w:p>
        </w:tc>
        <w:tc>
          <w:tcPr>
            <w:tcW w:w="1350"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Total equity attributable to owners of the parent</w:t>
            </w:r>
          </w:p>
        </w:tc>
        <w:tc>
          <w:tcPr>
            <w:tcW w:w="1292" w:type="dxa"/>
            <w:tcBorders>
              <w:top w:val="single" w:sz="6" w:space="0" w:color="auto"/>
              <w:left w:val="nil"/>
              <w:bottom w:val="single" w:sz="6" w:space="0" w:color="auto"/>
              <w:right w:val="nil"/>
            </w:tcBorders>
          </w:tcPr>
          <w:p w:rsidR="00C92A5C" w:rsidRPr="00981CD4" w:rsidRDefault="002F69AE" w:rsidP="00C92A5C">
            <w:pPr>
              <w:pStyle w:val="NoSpacing"/>
              <w:jc w:val="right"/>
              <w:rPr>
                <w:sz w:val="20"/>
                <w:szCs w:val="20"/>
              </w:rPr>
            </w:pPr>
            <w:r>
              <w:rPr>
                <w:sz w:val="20"/>
                <w:szCs w:val="20"/>
              </w:rPr>
              <w:t>61,653</w:t>
            </w:r>
          </w:p>
        </w:tc>
        <w:tc>
          <w:tcPr>
            <w:tcW w:w="1350" w:type="dxa"/>
            <w:tcBorders>
              <w:top w:val="single" w:sz="6" w:space="0" w:color="auto"/>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c>
          <w:tcPr>
            <w:tcW w:w="1350"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Non-current liabilities</w:t>
            </w:r>
          </w:p>
        </w:tc>
        <w:tc>
          <w:tcPr>
            <w:tcW w:w="1292" w:type="dxa"/>
            <w:tcBorders>
              <w:top w:val="nil"/>
              <w:left w:val="nil"/>
              <w:bottom w:val="nil"/>
              <w:right w:val="nil"/>
            </w:tcBorders>
          </w:tcPr>
          <w:p w:rsidR="00C92A5C" w:rsidRPr="00981CD4" w:rsidRDefault="00C92A5C" w:rsidP="00C92A5C">
            <w:pPr>
              <w:pStyle w:val="NoSpacing"/>
              <w:jc w:val="right"/>
              <w:rPr>
                <w:sz w:val="20"/>
                <w:szCs w:val="20"/>
              </w:rPr>
            </w:pPr>
          </w:p>
        </w:tc>
        <w:tc>
          <w:tcPr>
            <w:tcW w:w="1350" w:type="dxa"/>
            <w:tcBorders>
              <w:top w:val="nil"/>
              <w:left w:val="nil"/>
              <w:bottom w:val="nil"/>
              <w:right w:val="nil"/>
            </w:tcBorders>
          </w:tcPr>
          <w:p w:rsidR="00C92A5C" w:rsidRPr="00981CD4" w:rsidRDefault="00C92A5C" w:rsidP="00C92A5C">
            <w:pPr>
              <w:pStyle w:val="NoSpacing"/>
              <w:jc w:val="right"/>
              <w:rPr>
                <w:sz w:val="20"/>
                <w:szCs w:val="20"/>
              </w:rPr>
            </w:pP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Bank borrowings</w:t>
            </w:r>
          </w:p>
        </w:tc>
        <w:tc>
          <w:tcPr>
            <w:tcW w:w="1292" w:type="dxa"/>
            <w:tcBorders>
              <w:top w:val="nil"/>
              <w:left w:val="nil"/>
              <w:bottom w:val="nil"/>
              <w:right w:val="nil"/>
            </w:tcBorders>
          </w:tcPr>
          <w:p w:rsidR="00C92A5C" w:rsidRPr="00981CD4" w:rsidRDefault="002F69AE" w:rsidP="00C92A5C">
            <w:pPr>
              <w:pStyle w:val="NoSpacing"/>
              <w:jc w:val="right"/>
              <w:rPr>
                <w:sz w:val="20"/>
                <w:szCs w:val="20"/>
              </w:rPr>
            </w:pPr>
            <w:r>
              <w:rPr>
                <w:sz w:val="20"/>
                <w:szCs w:val="20"/>
              </w:rPr>
              <w:t>106</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Trade payables</w:t>
            </w:r>
          </w:p>
        </w:tc>
        <w:tc>
          <w:tcPr>
            <w:tcW w:w="1292" w:type="dxa"/>
            <w:tcBorders>
              <w:top w:val="nil"/>
              <w:left w:val="nil"/>
              <w:bottom w:val="nil"/>
              <w:right w:val="nil"/>
            </w:tcBorders>
          </w:tcPr>
          <w:p w:rsidR="00C92A5C" w:rsidRPr="00981CD4" w:rsidRDefault="002E563B" w:rsidP="00C92A5C">
            <w:pPr>
              <w:pStyle w:val="NoSpacing"/>
              <w:jc w:val="right"/>
              <w:rPr>
                <w:sz w:val="20"/>
                <w:szCs w:val="20"/>
              </w:rPr>
            </w:pPr>
            <w:r>
              <w:rPr>
                <w:sz w:val="20"/>
                <w:szCs w:val="20"/>
              </w:rPr>
              <w:t>11,674</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Deferred tax liabilities</w:t>
            </w:r>
          </w:p>
        </w:tc>
        <w:tc>
          <w:tcPr>
            <w:tcW w:w="1292" w:type="dxa"/>
            <w:tcBorders>
              <w:top w:val="nil"/>
              <w:left w:val="nil"/>
              <w:bottom w:val="single" w:sz="6" w:space="0" w:color="auto"/>
              <w:right w:val="nil"/>
            </w:tcBorders>
          </w:tcPr>
          <w:p w:rsidR="00C92A5C" w:rsidRPr="00981CD4" w:rsidRDefault="002F69AE" w:rsidP="00C92A5C">
            <w:pPr>
              <w:pStyle w:val="NoSpacing"/>
              <w:jc w:val="right"/>
              <w:rPr>
                <w:sz w:val="20"/>
                <w:szCs w:val="20"/>
              </w:rPr>
            </w:pPr>
            <w:r>
              <w:rPr>
                <w:sz w:val="20"/>
                <w:szCs w:val="20"/>
              </w:rPr>
              <w:t>892</w:t>
            </w:r>
          </w:p>
        </w:tc>
        <w:tc>
          <w:tcPr>
            <w:tcW w:w="1350"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single" w:sz="6" w:space="0" w:color="auto"/>
              <w:right w:val="nil"/>
            </w:tcBorders>
          </w:tcPr>
          <w:p w:rsidR="00C92A5C" w:rsidRPr="00981CD4" w:rsidRDefault="002E563B" w:rsidP="00C92A5C">
            <w:pPr>
              <w:pStyle w:val="NoSpacing"/>
              <w:jc w:val="right"/>
              <w:rPr>
                <w:sz w:val="20"/>
                <w:szCs w:val="20"/>
              </w:rPr>
            </w:pPr>
            <w:r>
              <w:rPr>
                <w:sz w:val="20"/>
                <w:szCs w:val="20"/>
              </w:rPr>
              <w:t>12,672</w:t>
            </w:r>
          </w:p>
        </w:tc>
        <w:tc>
          <w:tcPr>
            <w:tcW w:w="1350" w:type="dxa"/>
            <w:tcBorders>
              <w:top w:val="single" w:sz="6" w:space="0" w:color="auto"/>
              <w:left w:val="nil"/>
              <w:bottom w:val="single" w:sz="6" w:space="0" w:color="auto"/>
              <w:right w:val="nil"/>
            </w:tcBorders>
          </w:tcPr>
          <w:p w:rsidR="00C92A5C" w:rsidRPr="00981CD4" w:rsidRDefault="002F69AE"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Current liabilities</w:t>
            </w:r>
          </w:p>
        </w:tc>
        <w:tc>
          <w:tcPr>
            <w:tcW w:w="1292"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c>
          <w:tcPr>
            <w:tcW w:w="1350" w:type="dxa"/>
            <w:tcBorders>
              <w:top w:val="single" w:sz="6" w:space="0" w:color="auto"/>
              <w:left w:val="nil"/>
              <w:bottom w:val="nil"/>
              <w:right w:val="nil"/>
            </w:tcBorders>
          </w:tcPr>
          <w:p w:rsidR="00C92A5C" w:rsidRPr="00981CD4" w:rsidRDefault="00C92A5C" w:rsidP="00C92A5C">
            <w:pPr>
              <w:pStyle w:val="NoSpacing"/>
              <w:jc w:val="right"/>
              <w:rPr>
                <w:sz w:val="20"/>
                <w:szCs w:val="20"/>
              </w:rPr>
            </w:pPr>
          </w:p>
        </w:tc>
      </w:tr>
      <w:tr w:rsidR="00C92A5C" w:rsidRPr="004C2064" w:rsidTr="001D3EE0">
        <w:tc>
          <w:tcPr>
            <w:tcW w:w="6376" w:type="dxa"/>
            <w:tcBorders>
              <w:top w:val="nil"/>
              <w:left w:val="nil"/>
              <w:bottom w:val="nil"/>
              <w:right w:val="nil"/>
            </w:tcBorders>
          </w:tcPr>
          <w:p w:rsidR="00C92A5C" w:rsidRPr="00981CD4" w:rsidRDefault="00C92A5C" w:rsidP="008653CF">
            <w:pPr>
              <w:pStyle w:val="NoSpacing"/>
              <w:rPr>
                <w:sz w:val="20"/>
                <w:szCs w:val="20"/>
              </w:rPr>
            </w:pPr>
            <w:r w:rsidRPr="00981CD4">
              <w:rPr>
                <w:sz w:val="20"/>
                <w:szCs w:val="20"/>
              </w:rPr>
              <w:t>Trade and other payables</w:t>
            </w:r>
          </w:p>
        </w:tc>
        <w:tc>
          <w:tcPr>
            <w:tcW w:w="1292" w:type="dxa"/>
            <w:tcBorders>
              <w:top w:val="nil"/>
              <w:left w:val="nil"/>
              <w:bottom w:val="nil"/>
              <w:right w:val="nil"/>
            </w:tcBorders>
          </w:tcPr>
          <w:p w:rsidR="00C92A5C" w:rsidRPr="00981CD4" w:rsidRDefault="002F69AE" w:rsidP="00C92A5C">
            <w:pPr>
              <w:pStyle w:val="NoSpacing"/>
              <w:jc w:val="right"/>
              <w:rPr>
                <w:sz w:val="20"/>
                <w:szCs w:val="20"/>
              </w:rPr>
            </w:pPr>
            <w:r>
              <w:rPr>
                <w:sz w:val="20"/>
                <w:szCs w:val="20"/>
              </w:rPr>
              <w:t>36,685</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Amount due to customers for contract</w:t>
            </w:r>
          </w:p>
        </w:tc>
        <w:tc>
          <w:tcPr>
            <w:tcW w:w="1292" w:type="dxa"/>
            <w:tcBorders>
              <w:top w:val="nil"/>
              <w:left w:val="nil"/>
              <w:bottom w:val="nil"/>
              <w:right w:val="nil"/>
            </w:tcBorders>
          </w:tcPr>
          <w:p w:rsidR="00C92A5C" w:rsidRPr="00981CD4" w:rsidRDefault="002F69AE" w:rsidP="00C92A5C">
            <w:pPr>
              <w:pStyle w:val="NoSpacing"/>
              <w:jc w:val="right"/>
              <w:rPr>
                <w:sz w:val="20"/>
                <w:szCs w:val="20"/>
              </w:rPr>
            </w:pPr>
            <w:r>
              <w:rPr>
                <w:sz w:val="20"/>
                <w:szCs w:val="20"/>
              </w:rPr>
              <w:t>10,918</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Bank borrowings</w:t>
            </w:r>
          </w:p>
        </w:tc>
        <w:tc>
          <w:tcPr>
            <w:tcW w:w="1292" w:type="dxa"/>
            <w:tcBorders>
              <w:top w:val="nil"/>
              <w:left w:val="nil"/>
              <w:bottom w:val="nil"/>
              <w:right w:val="nil"/>
            </w:tcBorders>
          </w:tcPr>
          <w:p w:rsidR="00C92A5C" w:rsidRPr="00981CD4" w:rsidRDefault="002F69AE" w:rsidP="00C92A5C">
            <w:pPr>
              <w:pStyle w:val="NoSpacing"/>
              <w:jc w:val="right"/>
              <w:rPr>
                <w:sz w:val="20"/>
                <w:szCs w:val="20"/>
              </w:rPr>
            </w:pPr>
            <w:r>
              <w:rPr>
                <w:sz w:val="20"/>
                <w:szCs w:val="20"/>
              </w:rPr>
              <w:t>1,467</w:t>
            </w:r>
          </w:p>
        </w:tc>
        <w:tc>
          <w:tcPr>
            <w:tcW w:w="1350" w:type="dxa"/>
            <w:tcBorders>
              <w:top w:val="nil"/>
              <w:left w:val="nil"/>
              <w:bottom w:val="nil"/>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r w:rsidRPr="00981CD4">
              <w:rPr>
                <w:sz w:val="20"/>
                <w:szCs w:val="20"/>
              </w:rPr>
              <w:t>Tax liabilities</w:t>
            </w:r>
          </w:p>
        </w:tc>
        <w:tc>
          <w:tcPr>
            <w:tcW w:w="1292" w:type="dxa"/>
            <w:tcBorders>
              <w:top w:val="nil"/>
              <w:left w:val="nil"/>
              <w:bottom w:val="single" w:sz="6" w:space="0" w:color="auto"/>
              <w:right w:val="nil"/>
            </w:tcBorders>
          </w:tcPr>
          <w:p w:rsidR="00C92A5C" w:rsidRPr="00981CD4" w:rsidRDefault="002F69AE" w:rsidP="00C92A5C">
            <w:pPr>
              <w:pStyle w:val="NoSpacing"/>
              <w:jc w:val="right"/>
              <w:rPr>
                <w:sz w:val="20"/>
                <w:szCs w:val="20"/>
              </w:rPr>
            </w:pPr>
            <w:r>
              <w:rPr>
                <w:sz w:val="20"/>
                <w:szCs w:val="20"/>
              </w:rPr>
              <w:t>1,587</w:t>
            </w:r>
          </w:p>
        </w:tc>
        <w:tc>
          <w:tcPr>
            <w:tcW w:w="1350" w:type="dxa"/>
            <w:tcBorders>
              <w:top w:val="nil"/>
              <w:left w:val="nil"/>
              <w:bottom w:val="single" w:sz="6" w:space="0" w:color="auto"/>
              <w:right w:val="nil"/>
            </w:tcBorders>
          </w:tcPr>
          <w:p w:rsidR="00C92A5C" w:rsidRPr="00981CD4" w:rsidRDefault="00C92A5C" w:rsidP="00C92A5C">
            <w:pPr>
              <w:pStyle w:val="NoSpacing"/>
              <w:jc w:val="right"/>
              <w:rPr>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single" w:sz="6" w:space="0" w:color="auto"/>
              <w:right w:val="nil"/>
            </w:tcBorders>
          </w:tcPr>
          <w:p w:rsidR="00C92A5C" w:rsidRPr="00981CD4" w:rsidRDefault="002F69AE" w:rsidP="00C92A5C">
            <w:pPr>
              <w:pStyle w:val="NoSpacing"/>
              <w:jc w:val="right"/>
              <w:rPr>
                <w:sz w:val="20"/>
                <w:szCs w:val="20"/>
              </w:rPr>
            </w:pPr>
            <w:r>
              <w:rPr>
                <w:sz w:val="20"/>
                <w:szCs w:val="20"/>
              </w:rPr>
              <w:t>50,657</w:t>
            </w:r>
          </w:p>
        </w:tc>
        <w:tc>
          <w:tcPr>
            <w:tcW w:w="1350" w:type="dxa"/>
            <w:tcBorders>
              <w:top w:val="single" w:sz="6" w:space="0" w:color="auto"/>
              <w:left w:val="nil"/>
              <w:bottom w:val="single" w:sz="6" w:space="0" w:color="auto"/>
              <w:right w:val="nil"/>
            </w:tcBorders>
          </w:tcPr>
          <w:p w:rsidR="00C92A5C" w:rsidRPr="00981CD4" w:rsidRDefault="001D3EE0" w:rsidP="00C92A5C">
            <w:pPr>
              <w:pStyle w:val="NoSpacing"/>
              <w:jc w:val="right"/>
              <w:rPr>
                <w:sz w:val="20"/>
                <w:szCs w:val="20"/>
              </w:rPr>
            </w:pPr>
            <w:r>
              <w:rPr>
                <w:sz w:val="20"/>
                <w:szCs w:val="20"/>
              </w:rPr>
              <w:t>N/A</w:t>
            </w:r>
          </w:p>
        </w:tc>
      </w:tr>
      <w:tr w:rsidR="00C92A5C" w:rsidRPr="00981CD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TOTAL LIABILITIES</w:t>
            </w:r>
          </w:p>
        </w:tc>
        <w:tc>
          <w:tcPr>
            <w:tcW w:w="1292" w:type="dxa"/>
            <w:tcBorders>
              <w:top w:val="single" w:sz="6" w:space="0" w:color="auto"/>
              <w:left w:val="nil"/>
              <w:bottom w:val="single" w:sz="6" w:space="0" w:color="auto"/>
              <w:right w:val="nil"/>
            </w:tcBorders>
          </w:tcPr>
          <w:p w:rsidR="00C92A5C" w:rsidRPr="00981CD4" w:rsidRDefault="002F69AE" w:rsidP="00C92A5C">
            <w:pPr>
              <w:pStyle w:val="NoSpacing"/>
              <w:jc w:val="right"/>
              <w:rPr>
                <w:b/>
                <w:sz w:val="20"/>
                <w:szCs w:val="20"/>
              </w:rPr>
            </w:pPr>
            <w:r>
              <w:rPr>
                <w:b/>
                <w:sz w:val="20"/>
                <w:szCs w:val="20"/>
              </w:rPr>
              <w:t>63,329</w:t>
            </w:r>
          </w:p>
        </w:tc>
        <w:tc>
          <w:tcPr>
            <w:tcW w:w="1350" w:type="dxa"/>
            <w:tcBorders>
              <w:top w:val="single" w:sz="6" w:space="0" w:color="auto"/>
              <w:left w:val="nil"/>
              <w:bottom w:val="single" w:sz="6" w:space="0" w:color="auto"/>
              <w:right w:val="nil"/>
            </w:tcBorders>
          </w:tcPr>
          <w:p w:rsidR="00C92A5C" w:rsidRPr="00981CD4" w:rsidRDefault="00C92A5C" w:rsidP="00C92A5C">
            <w:pPr>
              <w:pStyle w:val="NoSpacing"/>
              <w:jc w:val="right"/>
              <w:rPr>
                <w:b/>
                <w:sz w:val="20"/>
                <w:szCs w:val="20"/>
              </w:rPr>
            </w:pPr>
            <w:r>
              <w:rPr>
                <w:sz w:val="20"/>
                <w:szCs w:val="20"/>
              </w:rPr>
              <w:t>N/A</w:t>
            </w:r>
          </w:p>
        </w:tc>
      </w:tr>
      <w:tr w:rsidR="00C92A5C" w:rsidRPr="00981CD4" w:rsidTr="001D3EE0">
        <w:tc>
          <w:tcPr>
            <w:tcW w:w="6376" w:type="dxa"/>
            <w:tcBorders>
              <w:top w:val="nil"/>
              <w:left w:val="nil"/>
              <w:bottom w:val="nil"/>
              <w:right w:val="nil"/>
            </w:tcBorders>
          </w:tcPr>
          <w:p w:rsidR="00C92A5C" w:rsidRPr="00981CD4" w:rsidRDefault="00C92A5C" w:rsidP="004902A0">
            <w:pPr>
              <w:pStyle w:val="NoSpacing"/>
              <w:rPr>
                <w:b/>
                <w:sz w:val="20"/>
                <w:szCs w:val="20"/>
              </w:rPr>
            </w:pPr>
            <w:r w:rsidRPr="00981CD4">
              <w:rPr>
                <w:b/>
                <w:sz w:val="20"/>
                <w:szCs w:val="20"/>
              </w:rPr>
              <w:t>TOTAL EQUITY AND LIABILITIES</w:t>
            </w:r>
          </w:p>
        </w:tc>
        <w:tc>
          <w:tcPr>
            <w:tcW w:w="1292" w:type="dxa"/>
            <w:tcBorders>
              <w:top w:val="single" w:sz="6" w:space="0" w:color="auto"/>
              <w:left w:val="nil"/>
              <w:bottom w:val="single" w:sz="6" w:space="0" w:color="auto"/>
              <w:right w:val="nil"/>
            </w:tcBorders>
          </w:tcPr>
          <w:p w:rsidR="00C92A5C" w:rsidRPr="00981CD4" w:rsidRDefault="002F69AE" w:rsidP="00C92A5C">
            <w:pPr>
              <w:pStyle w:val="NoSpacing"/>
              <w:jc w:val="right"/>
              <w:rPr>
                <w:b/>
                <w:sz w:val="20"/>
                <w:szCs w:val="20"/>
              </w:rPr>
            </w:pPr>
            <w:r>
              <w:rPr>
                <w:b/>
                <w:sz w:val="20"/>
                <w:szCs w:val="20"/>
              </w:rPr>
              <w:t>124,982</w:t>
            </w:r>
          </w:p>
        </w:tc>
        <w:tc>
          <w:tcPr>
            <w:tcW w:w="1350" w:type="dxa"/>
            <w:tcBorders>
              <w:top w:val="single" w:sz="6" w:space="0" w:color="auto"/>
              <w:left w:val="nil"/>
              <w:bottom w:val="single" w:sz="6" w:space="0" w:color="auto"/>
              <w:right w:val="nil"/>
            </w:tcBorders>
          </w:tcPr>
          <w:p w:rsidR="00C92A5C" w:rsidRPr="00981CD4" w:rsidRDefault="00C92A5C" w:rsidP="00C92A5C">
            <w:pPr>
              <w:pStyle w:val="NoSpacing"/>
              <w:jc w:val="right"/>
              <w:rPr>
                <w:b/>
                <w:sz w:val="20"/>
                <w:szCs w:val="20"/>
              </w:rPr>
            </w:pPr>
            <w:r>
              <w:rPr>
                <w:sz w:val="20"/>
                <w:szCs w:val="20"/>
              </w:rPr>
              <w:t>N/A</w:t>
            </w:r>
          </w:p>
        </w:tc>
      </w:tr>
      <w:tr w:rsidR="00C92A5C" w:rsidRPr="004C2064" w:rsidTr="001D3EE0">
        <w:tc>
          <w:tcPr>
            <w:tcW w:w="6376" w:type="dxa"/>
            <w:tcBorders>
              <w:top w:val="nil"/>
              <w:left w:val="nil"/>
              <w:bottom w:val="nil"/>
              <w:right w:val="nil"/>
            </w:tcBorders>
          </w:tcPr>
          <w:p w:rsidR="00C92A5C" w:rsidRPr="00981CD4" w:rsidRDefault="00C92A5C" w:rsidP="004902A0">
            <w:pPr>
              <w:pStyle w:val="NoSpacing"/>
              <w:rPr>
                <w:sz w:val="20"/>
                <w:szCs w:val="20"/>
              </w:rPr>
            </w:pPr>
          </w:p>
        </w:tc>
        <w:tc>
          <w:tcPr>
            <w:tcW w:w="1292" w:type="dxa"/>
            <w:tcBorders>
              <w:top w:val="single" w:sz="6" w:space="0" w:color="auto"/>
              <w:left w:val="nil"/>
              <w:bottom w:val="single" w:sz="6" w:space="0" w:color="auto"/>
              <w:right w:val="nil"/>
            </w:tcBorders>
          </w:tcPr>
          <w:p w:rsidR="00C92A5C" w:rsidRPr="00981CD4" w:rsidRDefault="00C92A5C" w:rsidP="00C92A5C">
            <w:pPr>
              <w:pStyle w:val="NoSpacing"/>
              <w:jc w:val="right"/>
              <w:rPr>
                <w:sz w:val="20"/>
                <w:szCs w:val="20"/>
              </w:rPr>
            </w:pPr>
          </w:p>
        </w:tc>
        <w:tc>
          <w:tcPr>
            <w:tcW w:w="1350" w:type="dxa"/>
            <w:tcBorders>
              <w:top w:val="single" w:sz="6" w:space="0" w:color="auto"/>
              <w:left w:val="nil"/>
              <w:bottom w:val="single" w:sz="6" w:space="0" w:color="auto"/>
              <w:right w:val="nil"/>
            </w:tcBorders>
          </w:tcPr>
          <w:p w:rsidR="00C92A5C" w:rsidRPr="00981CD4" w:rsidRDefault="00C92A5C" w:rsidP="00C92A5C">
            <w:pPr>
              <w:pStyle w:val="NoSpacing"/>
              <w:jc w:val="right"/>
              <w:rPr>
                <w:sz w:val="20"/>
                <w:szCs w:val="20"/>
              </w:rPr>
            </w:pPr>
          </w:p>
        </w:tc>
      </w:tr>
      <w:tr w:rsidR="00C92A5C" w:rsidRPr="00981CD4" w:rsidTr="001D3EE0">
        <w:tc>
          <w:tcPr>
            <w:tcW w:w="6376" w:type="dxa"/>
            <w:tcBorders>
              <w:top w:val="nil"/>
              <w:left w:val="nil"/>
              <w:bottom w:val="nil"/>
              <w:right w:val="single" w:sz="6" w:space="0" w:color="auto"/>
            </w:tcBorders>
          </w:tcPr>
          <w:p w:rsidR="00C92A5C" w:rsidRPr="00981CD4" w:rsidRDefault="00C92A5C" w:rsidP="004902A0">
            <w:pPr>
              <w:pStyle w:val="NoSpacing"/>
              <w:rPr>
                <w:b/>
                <w:sz w:val="20"/>
                <w:szCs w:val="20"/>
              </w:rPr>
            </w:pPr>
            <w:r w:rsidRPr="00981CD4">
              <w:rPr>
                <w:b/>
                <w:sz w:val="20"/>
                <w:szCs w:val="20"/>
              </w:rPr>
              <w:t>Net assets per share attributable to owners of the parent (</w:t>
            </w:r>
            <w:proofErr w:type="spellStart"/>
            <w:r w:rsidRPr="00981CD4">
              <w:rPr>
                <w:b/>
                <w:sz w:val="20"/>
                <w:szCs w:val="20"/>
              </w:rPr>
              <w:t>Sen</w:t>
            </w:r>
            <w:proofErr w:type="spellEnd"/>
            <w:r w:rsidRPr="00981CD4">
              <w:rPr>
                <w:b/>
                <w:sz w:val="20"/>
                <w:szCs w:val="20"/>
              </w:rPr>
              <w:t xml:space="preserve">) </w:t>
            </w:r>
          </w:p>
        </w:tc>
        <w:tc>
          <w:tcPr>
            <w:tcW w:w="1292" w:type="dxa"/>
            <w:tcBorders>
              <w:top w:val="single" w:sz="6" w:space="0" w:color="auto"/>
              <w:left w:val="single" w:sz="6" w:space="0" w:color="auto"/>
              <w:bottom w:val="single" w:sz="6" w:space="0" w:color="auto"/>
              <w:right w:val="nil"/>
            </w:tcBorders>
          </w:tcPr>
          <w:p w:rsidR="00C92A5C" w:rsidRPr="00981CD4" w:rsidRDefault="002F69AE" w:rsidP="00C92A5C">
            <w:pPr>
              <w:pStyle w:val="NoSpacing"/>
              <w:jc w:val="right"/>
              <w:rPr>
                <w:b/>
                <w:sz w:val="20"/>
                <w:szCs w:val="20"/>
              </w:rPr>
            </w:pPr>
            <w:r>
              <w:rPr>
                <w:b/>
                <w:sz w:val="20"/>
                <w:szCs w:val="20"/>
              </w:rPr>
              <w:t>13.29</w:t>
            </w:r>
          </w:p>
        </w:tc>
        <w:tc>
          <w:tcPr>
            <w:tcW w:w="1350" w:type="dxa"/>
            <w:tcBorders>
              <w:top w:val="single" w:sz="6" w:space="0" w:color="auto"/>
              <w:left w:val="nil"/>
              <w:bottom w:val="single" w:sz="6" w:space="0" w:color="auto"/>
              <w:right w:val="single" w:sz="6" w:space="0" w:color="auto"/>
            </w:tcBorders>
          </w:tcPr>
          <w:p w:rsidR="00C92A5C" w:rsidRPr="00981CD4" w:rsidRDefault="00C92A5C" w:rsidP="00C92A5C">
            <w:pPr>
              <w:pStyle w:val="NoSpacing"/>
              <w:jc w:val="right"/>
              <w:rPr>
                <w:b/>
                <w:sz w:val="20"/>
                <w:szCs w:val="20"/>
              </w:rPr>
            </w:pPr>
            <w:r>
              <w:rPr>
                <w:sz w:val="20"/>
                <w:szCs w:val="20"/>
              </w:rPr>
              <w:t>N/A</w:t>
            </w:r>
          </w:p>
        </w:tc>
      </w:tr>
    </w:tbl>
    <w:p w:rsidR="00A93566" w:rsidRDefault="00A93566" w:rsidP="00A93566">
      <w:pPr>
        <w:pStyle w:val="NoSpacing"/>
        <w:ind w:left="720" w:hanging="720"/>
        <w:jc w:val="both"/>
      </w:pPr>
    </w:p>
    <w:p w:rsidR="00981CD4" w:rsidRPr="00981CD4" w:rsidRDefault="00981CD4" w:rsidP="00981CD4">
      <w:pPr>
        <w:pStyle w:val="NoSpacing"/>
        <w:jc w:val="both"/>
        <w:rPr>
          <w:sz w:val="20"/>
          <w:szCs w:val="20"/>
        </w:rPr>
      </w:pPr>
      <w:r w:rsidRPr="00981CD4">
        <w:rPr>
          <w:sz w:val="20"/>
          <w:szCs w:val="20"/>
        </w:rPr>
        <w:t xml:space="preserve">The unaudited condensed consolidated statement of </w:t>
      </w:r>
      <w:r>
        <w:rPr>
          <w:sz w:val="20"/>
          <w:szCs w:val="20"/>
        </w:rPr>
        <w:t>financial position</w:t>
      </w:r>
      <w:r w:rsidRPr="00981CD4">
        <w:rPr>
          <w:sz w:val="20"/>
          <w:szCs w:val="20"/>
        </w:rPr>
        <w:t xml:space="preserve"> should be read in conjunction with the Accountants’ Report on the PMHB Group for the financial year ended 31 December 2011 as disclosed in the Explanatory Statement-Cum-Circular dated 11 July 2012.</w:t>
      </w:r>
    </w:p>
    <w:p w:rsidR="001D3EE0" w:rsidRDefault="001D3EE0">
      <w:r>
        <w:br w:type="page"/>
      </w:r>
    </w:p>
    <w:p w:rsidR="001B1A50" w:rsidRPr="002F1C6E" w:rsidRDefault="001B1A50" w:rsidP="001B1A50">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B1A50" w:rsidRPr="004C2064" w:rsidRDefault="001B1A50" w:rsidP="001B1A50">
      <w:pPr>
        <w:pStyle w:val="NoSpacing"/>
        <w:rPr>
          <w:b/>
        </w:rPr>
      </w:pPr>
      <w:r w:rsidRPr="004C2064">
        <w:rPr>
          <w:b/>
        </w:rPr>
        <w:t>UNAUDITED CONDENSED CONSOLIDATED S</w:t>
      </w:r>
      <w:r>
        <w:rPr>
          <w:b/>
        </w:rPr>
        <w:t xml:space="preserve">TATEMENT OF </w:t>
      </w:r>
      <w:r w:rsidR="00516A35">
        <w:rPr>
          <w:b/>
        </w:rPr>
        <w:t>CHANGES IN EQUITY</w:t>
      </w:r>
    </w:p>
    <w:p w:rsidR="001B1A50" w:rsidRPr="004C2064" w:rsidRDefault="001B1A50" w:rsidP="001B1A50">
      <w:pPr>
        <w:pStyle w:val="NoSpacing"/>
        <w:rPr>
          <w:b/>
        </w:rPr>
      </w:pPr>
      <w:r>
        <w:rPr>
          <w:b/>
        </w:rPr>
        <w:t>AS AT 30 SEPTEMBER 2012</w:t>
      </w:r>
    </w:p>
    <w:p w:rsidR="001B1A50" w:rsidRDefault="001B1A50" w:rsidP="00A93566">
      <w:pPr>
        <w:pStyle w:val="NoSpacing"/>
        <w:ind w:left="720" w:hanging="720"/>
        <w:jc w:val="both"/>
      </w:pPr>
    </w:p>
    <w:tbl>
      <w:tblPr>
        <w:tblStyle w:val="TableGrid"/>
        <w:tblW w:w="0" w:type="auto"/>
        <w:tblInd w:w="-72" w:type="dxa"/>
        <w:tblLook w:val="04A0" w:firstRow="1" w:lastRow="0" w:firstColumn="1" w:lastColumn="0" w:noHBand="0" w:noVBand="1"/>
      </w:tblPr>
      <w:tblGrid>
        <w:gridCol w:w="3600"/>
        <w:gridCol w:w="1620"/>
        <w:gridCol w:w="1483"/>
        <w:gridCol w:w="1475"/>
        <w:gridCol w:w="1470"/>
      </w:tblGrid>
      <w:tr w:rsidR="003E7C57" w:rsidTr="00F8288F">
        <w:tc>
          <w:tcPr>
            <w:tcW w:w="3600" w:type="dxa"/>
            <w:tcBorders>
              <w:top w:val="nil"/>
              <w:left w:val="nil"/>
              <w:bottom w:val="nil"/>
              <w:right w:val="nil"/>
            </w:tcBorders>
          </w:tcPr>
          <w:p w:rsidR="003E7C57" w:rsidRDefault="003E7C57" w:rsidP="00A93566">
            <w:pPr>
              <w:pStyle w:val="NoSpacing"/>
              <w:jc w:val="both"/>
            </w:pPr>
          </w:p>
        </w:tc>
        <w:tc>
          <w:tcPr>
            <w:tcW w:w="4578" w:type="dxa"/>
            <w:gridSpan w:val="3"/>
            <w:tcBorders>
              <w:top w:val="nil"/>
              <w:left w:val="nil"/>
              <w:bottom w:val="nil"/>
              <w:right w:val="nil"/>
            </w:tcBorders>
          </w:tcPr>
          <w:p w:rsidR="003E7C57" w:rsidRPr="003E7C57" w:rsidRDefault="003E7C57" w:rsidP="00F8288F">
            <w:pPr>
              <w:pStyle w:val="NoSpacing"/>
              <w:jc w:val="right"/>
              <w:rPr>
                <w:b/>
              </w:rPr>
            </w:pPr>
            <w:r w:rsidRPr="003E7C57">
              <w:rPr>
                <w:b/>
              </w:rPr>
              <w:t>ATTRIBUTABLE TO OWNERS OF THE PARENT</w:t>
            </w:r>
          </w:p>
        </w:tc>
        <w:tc>
          <w:tcPr>
            <w:tcW w:w="1470" w:type="dxa"/>
            <w:tcBorders>
              <w:top w:val="nil"/>
              <w:left w:val="nil"/>
              <w:bottom w:val="nil"/>
              <w:right w:val="nil"/>
            </w:tcBorders>
          </w:tcPr>
          <w:p w:rsidR="003E7C57" w:rsidRDefault="003E7C57" w:rsidP="00F8288F">
            <w:pPr>
              <w:pStyle w:val="NoSpacing"/>
              <w:jc w:val="right"/>
            </w:pPr>
          </w:p>
        </w:tc>
      </w:tr>
      <w:tr w:rsidR="003E7C57" w:rsidTr="00F8288F">
        <w:tc>
          <w:tcPr>
            <w:tcW w:w="3600" w:type="dxa"/>
            <w:tcBorders>
              <w:top w:val="nil"/>
              <w:left w:val="nil"/>
              <w:bottom w:val="nil"/>
              <w:right w:val="nil"/>
            </w:tcBorders>
          </w:tcPr>
          <w:p w:rsidR="003E7C57" w:rsidRDefault="003E7C57" w:rsidP="00A93566">
            <w:pPr>
              <w:pStyle w:val="NoSpacing"/>
              <w:jc w:val="both"/>
            </w:pPr>
          </w:p>
        </w:tc>
        <w:tc>
          <w:tcPr>
            <w:tcW w:w="3103" w:type="dxa"/>
            <w:gridSpan w:val="2"/>
            <w:tcBorders>
              <w:top w:val="nil"/>
              <w:left w:val="nil"/>
              <w:bottom w:val="nil"/>
              <w:right w:val="nil"/>
            </w:tcBorders>
          </w:tcPr>
          <w:p w:rsidR="003E7C57" w:rsidRPr="00F8288F" w:rsidRDefault="003E7C57" w:rsidP="00F8288F">
            <w:pPr>
              <w:pStyle w:val="NoSpacing"/>
              <w:jc w:val="center"/>
              <w:rPr>
                <w:b/>
                <w:u w:val="single"/>
              </w:rPr>
            </w:pPr>
            <w:r w:rsidRPr="00F8288F">
              <w:rPr>
                <w:b/>
                <w:u w:val="single"/>
              </w:rPr>
              <w:t>Non-distributable</w:t>
            </w:r>
          </w:p>
        </w:tc>
        <w:tc>
          <w:tcPr>
            <w:tcW w:w="1475" w:type="dxa"/>
            <w:tcBorders>
              <w:top w:val="nil"/>
              <w:left w:val="nil"/>
              <w:bottom w:val="nil"/>
              <w:right w:val="nil"/>
            </w:tcBorders>
          </w:tcPr>
          <w:p w:rsidR="003E7C57" w:rsidRPr="00F8288F" w:rsidRDefault="003E7C57" w:rsidP="00F8288F">
            <w:pPr>
              <w:pStyle w:val="NoSpacing"/>
              <w:jc w:val="right"/>
              <w:rPr>
                <w:b/>
                <w:u w:val="single"/>
              </w:rPr>
            </w:pPr>
            <w:r w:rsidRPr="00F8288F">
              <w:rPr>
                <w:b/>
                <w:u w:val="single"/>
              </w:rPr>
              <w:t>Distributable</w:t>
            </w:r>
          </w:p>
        </w:tc>
        <w:tc>
          <w:tcPr>
            <w:tcW w:w="1470" w:type="dxa"/>
            <w:tcBorders>
              <w:top w:val="nil"/>
              <w:left w:val="nil"/>
              <w:bottom w:val="nil"/>
              <w:right w:val="nil"/>
            </w:tcBorders>
          </w:tcPr>
          <w:p w:rsidR="003E7C57" w:rsidRDefault="003E7C57" w:rsidP="00F8288F">
            <w:pPr>
              <w:pStyle w:val="NoSpacing"/>
              <w:jc w:val="right"/>
            </w:pP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nil"/>
              <w:left w:val="nil"/>
              <w:bottom w:val="nil"/>
              <w:right w:val="nil"/>
            </w:tcBorders>
          </w:tcPr>
          <w:p w:rsidR="00F8288F" w:rsidRDefault="00F8288F" w:rsidP="00F8288F">
            <w:pPr>
              <w:pStyle w:val="NoSpacing"/>
              <w:jc w:val="right"/>
            </w:pPr>
          </w:p>
          <w:p w:rsidR="00F8288F" w:rsidRDefault="00F8288F" w:rsidP="00F8288F">
            <w:pPr>
              <w:pStyle w:val="NoSpacing"/>
              <w:jc w:val="right"/>
            </w:pPr>
          </w:p>
          <w:p w:rsidR="007B5F7D" w:rsidRDefault="007B5F7D" w:rsidP="00F8288F">
            <w:pPr>
              <w:pStyle w:val="NoSpacing"/>
              <w:jc w:val="right"/>
            </w:pPr>
            <w:r>
              <w:t>Share capital</w:t>
            </w:r>
          </w:p>
        </w:tc>
        <w:tc>
          <w:tcPr>
            <w:tcW w:w="1483" w:type="dxa"/>
            <w:tcBorders>
              <w:top w:val="nil"/>
              <w:left w:val="nil"/>
              <w:bottom w:val="nil"/>
              <w:right w:val="nil"/>
            </w:tcBorders>
          </w:tcPr>
          <w:p w:rsidR="007B5F7D" w:rsidRDefault="007B5F7D" w:rsidP="00F8288F">
            <w:pPr>
              <w:pStyle w:val="NoSpacing"/>
              <w:jc w:val="right"/>
            </w:pPr>
            <w:r>
              <w:t>Reverse acquisition reserve</w:t>
            </w:r>
          </w:p>
        </w:tc>
        <w:tc>
          <w:tcPr>
            <w:tcW w:w="1475" w:type="dxa"/>
            <w:tcBorders>
              <w:top w:val="nil"/>
              <w:left w:val="nil"/>
              <w:bottom w:val="nil"/>
              <w:right w:val="nil"/>
            </w:tcBorders>
          </w:tcPr>
          <w:p w:rsidR="00F8288F" w:rsidRDefault="00F8288F" w:rsidP="00F8288F">
            <w:pPr>
              <w:pStyle w:val="NoSpacing"/>
              <w:jc w:val="right"/>
            </w:pPr>
          </w:p>
          <w:p w:rsidR="007B5F7D" w:rsidRDefault="007B5F7D" w:rsidP="00F8288F">
            <w:pPr>
              <w:pStyle w:val="NoSpacing"/>
              <w:jc w:val="right"/>
            </w:pPr>
            <w:r>
              <w:t>Retained earnings</w:t>
            </w:r>
          </w:p>
        </w:tc>
        <w:tc>
          <w:tcPr>
            <w:tcW w:w="1470" w:type="dxa"/>
            <w:tcBorders>
              <w:top w:val="nil"/>
              <w:left w:val="nil"/>
              <w:bottom w:val="nil"/>
              <w:right w:val="nil"/>
            </w:tcBorders>
          </w:tcPr>
          <w:p w:rsidR="00F8288F" w:rsidRDefault="00F8288F" w:rsidP="00F8288F">
            <w:pPr>
              <w:pStyle w:val="NoSpacing"/>
              <w:jc w:val="right"/>
            </w:pPr>
          </w:p>
          <w:p w:rsidR="00F8288F" w:rsidRDefault="00F8288F" w:rsidP="00F8288F">
            <w:pPr>
              <w:pStyle w:val="NoSpacing"/>
              <w:jc w:val="right"/>
            </w:pPr>
          </w:p>
          <w:p w:rsidR="007B5F7D" w:rsidRDefault="007B5F7D" w:rsidP="00F8288F">
            <w:pPr>
              <w:pStyle w:val="NoSpacing"/>
              <w:jc w:val="right"/>
            </w:pPr>
            <w:r>
              <w:t>Total</w:t>
            </w: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nil"/>
              <w:left w:val="nil"/>
              <w:bottom w:val="nil"/>
              <w:right w:val="nil"/>
            </w:tcBorders>
          </w:tcPr>
          <w:p w:rsidR="007B5F7D" w:rsidRDefault="007B5F7D" w:rsidP="004902A0">
            <w:pPr>
              <w:pStyle w:val="NoSpacing"/>
              <w:jc w:val="right"/>
            </w:pPr>
            <w:r>
              <w:t>RM’000</w:t>
            </w:r>
          </w:p>
        </w:tc>
        <w:tc>
          <w:tcPr>
            <w:tcW w:w="1483" w:type="dxa"/>
            <w:tcBorders>
              <w:top w:val="nil"/>
              <w:left w:val="nil"/>
              <w:bottom w:val="nil"/>
              <w:right w:val="nil"/>
            </w:tcBorders>
          </w:tcPr>
          <w:p w:rsidR="007B5F7D" w:rsidRDefault="007B5F7D" w:rsidP="00F8288F">
            <w:pPr>
              <w:pStyle w:val="NoSpacing"/>
              <w:jc w:val="right"/>
            </w:pPr>
            <w:r>
              <w:t>RM’000</w:t>
            </w:r>
          </w:p>
          <w:p w:rsidR="007B5F7D" w:rsidRDefault="007B5F7D" w:rsidP="00F8288F">
            <w:pPr>
              <w:pStyle w:val="NoSpacing"/>
              <w:jc w:val="right"/>
            </w:pPr>
          </w:p>
        </w:tc>
        <w:tc>
          <w:tcPr>
            <w:tcW w:w="1475" w:type="dxa"/>
            <w:tcBorders>
              <w:top w:val="nil"/>
              <w:left w:val="nil"/>
              <w:bottom w:val="nil"/>
              <w:right w:val="nil"/>
            </w:tcBorders>
          </w:tcPr>
          <w:p w:rsidR="007B5F7D" w:rsidRDefault="007B5F7D" w:rsidP="004902A0">
            <w:pPr>
              <w:pStyle w:val="NoSpacing"/>
              <w:jc w:val="right"/>
            </w:pPr>
            <w:r>
              <w:t>RM’000</w:t>
            </w:r>
          </w:p>
        </w:tc>
        <w:tc>
          <w:tcPr>
            <w:tcW w:w="1470" w:type="dxa"/>
            <w:tcBorders>
              <w:top w:val="nil"/>
              <w:left w:val="nil"/>
              <w:bottom w:val="nil"/>
              <w:right w:val="nil"/>
            </w:tcBorders>
          </w:tcPr>
          <w:p w:rsidR="007B5F7D" w:rsidRDefault="007B5F7D" w:rsidP="004902A0">
            <w:pPr>
              <w:pStyle w:val="NoSpacing"/>
              <w:jc w:val="right"/>
            </w:pPr>
            <w:r>
              <w:t>RM’000</w:t>
            </w:r>
          </w:p>
        </w:tc>
      </w:tr>
      <w:tr w:rsidR="007B5F7D" w:rsidRPr="00F37D49" w:rsidTr="00F8288F">
        <w:tc>
          <w:tcPr>
            <w:tcW w:w="3600" w:type="dxa"/>
            <w:tcBorders>
              <w:top w:val="nil"/>
              <w:left w:val="nil"/>
              <w:bottom w:val="nil"/>
              <w:right w:val="nil"/>
            </w:tcBorders>
          </w:tcPr>
          <w:p w:rsidR="007B5F7D" w:rsidRPr="00F37D49" w:rsidRDefault="007B5F7D" w:rsidP="00A93566">
            <w:pPr>
              <w:pStyle w:val="NoSpacing"/>
              <w:jc w:val="both"/>
              <w:rPr>
                <w:b/>
              </w:rPr>
            </w:pPr>
            <w:r w:rsidRPr="00F37D49">
              <w:rPr>
                <w:b/>
              </w:rPr>
              <w:t>As at 1 January 2012</w:t>
            </w:r>
          </w:p>
        </w:tc>
        <w:tc>
          <w:tcPr>
            <w:tcW w:w="1620" w:type="dxa"/>
            <w:tcBorders>
              <w:top w:val="nil"/>
              <w:left w:val="nil"/>
              <w:bottom w:val="single" w:sz="4" w:space="0" w:color="auto"/>
              <w:right w:val="nil"/>
            </w:tcBorders>
          </w:tcPr>
          <w:p w:rsidR="007B5F7D" w:rsidRPr="00F37D49" w:rsidRDefault="007B5F7D" w:rsidP="00F8288F">
            <w:pPr>
              <w:pStyle w:val="NoSpacing"/>
              <w:jc w:val="right"/>
              <w:rPr>
                <w:b/>
              </w:rPr>
            </w:pPr>
            <w:r w:rsidRPr="00F37D49">
              <w:rPr>
                <w:b/>
              </w:rPr>
              <w:t>*</w:t>
            </w:r>
          </w:p>
        </w:tc>
        <w:tc>
          <w:tcPr>
            <w:tcW w:w="1483" w:type="dxa"/>
            <w:tcBorders>
              <w:top w:val="nil"/>
              <w:left w:val="nil"/>
              <w:bottom w:val="single" w:sz="4" w:space="0" w:color="auto"/>
              <w:right w:val="nil"/>
            </w:tcBorders>
          </w:tcPr>
          <w:p w:rsidR="007B5F7D" w:rsidRPr="00F37D49" w:rsidRDefault="007B5F7D" w:rsidP="00F8288F">
            <w:pPr>
              <w:pStyle w:val="NoSpacing"/>
              <w:jc w:val="right"/>
              <w:rPr>
                <w:b/>
              </w:rPr>
            </w:pPr>
            <w:r>
              <w:rPr>
                <w:b/>
              </w:rPr>
              <w:t>-</w:t>
            </w:r>
          </w:p>
        </w:tc>
        <w:tc>
          <w:tcPr>
            <w:tcW w:w="1475" w:type="dxa"/>
            <w:tcBorders>
              <w:top w:val="nil"/>
              <w:left w:val="nil"/>
              <w:bottom w:val="single" w:sz="4" w:space="0" w:color="auto"/>
              <w:right w:val="nil"/>
            </w:tcBorders>
          </w:tcPr>
          <w:p w:rsidR="007B5F7D" w:rsidRPr="00F37D49" w:rsidRDefault="007B5F7D" w:rsidP="00F8288F">
            <w:pPr>
              <w:pStyle w:val="NoSpacing"/>
              <w:jc w:val="right"/>
              <w:rPr>
                <w:b/>
              </w:rPr>
            </w:pPr>
            <w:r>
              <w:rPr>
                <w:b/>
              </w:rPr>
              <w:t>(6)</w:t>
            </w:r>
          </w:p>
        </w:tc>
        <w:tc>
          <w:tcPr>
            <w:tcW w:w="1470" w:type="dxa"/>
            <w:tcBorders>
              <w:top w:val="nil"/>
              <w:left w:val="nil"/>
              <w:bottom w:val="single" w:sz="4" w:space="0" w:color="auto"/>
              <w:right w:val="nil"/>
            </w:tcBorders>
          </w:tcPr>
          <w:p w:rsidR="007B5F7D" w:rsidRPr="00F37D49" w:rsidRDefault="007B5F7D" w:rsidP="00F8288F">
            <w:pPr>
              <w:pStyle w:val="NoSpacing"/>
              <w:jc w:val="right"/>
              <w:rPr>
                <w:b/>
              </w:rPr>
            </w:pPr>
            <w:r>
              <w:rPr>
                <w:b/>
              </w:rPr>
              <w:t>(6)</w:t>
            </w:r>
          </w:p>
        </w:tc>
      </w:tr>
      <w:tr w:rsidR="007B5F7D" w:rsidTr="00F8288F">
        <w:tc>
          <w:tcPr>
            <w:tcW w:w="3600" w:type="dxa"/>
            <w:tcBorders>
              <w:top w:val="nil"/>
              <w:left w:val="nil"/>
              <w:bottom w:val="nil"/>
              <w:right w:val="single" w:sz="4" w:space="0" w:color="auto"/>
            </w:tcBorders>
          </w:tcPr>
          <w:p w:rsidR="007B5F7D" w:rsidRDefault="007B5F7D" w:rsidP="00A93566">
            <w:pPr>
              <w:pStyle w:val="NoSpacing"/>
              <w:jc w:val="both"/>
            </w:pPr>
            <w:r>
              <w:t>Total comprehensive income for the period</w:t>
            </w:r>
          </w:p>
        </w:tc>
        <w:tc>
          <w:tcPr>
            <w:tcW w:w="1620" w:type="dxa"/>
            <w:tcBorders>
              <w:top w:val="single" w:sz="4" w:space="0" w:color="auto"/>
              <w:left w:val="single" w:sz="4" w:space="0" w:color="auto"/>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w:t>
            </w:r>
          </w:p>
        </w:tc>
        <w:tc>
          <w:tcPr>
            <w:tcW w:w="1483" w:type="dxa"/>
            <w:tcBorders>
              <w:top w:val="single" w:sz="4" w:space="0" w:color="auto"/>
              <w:left w:val="nil"/>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w:t>
            </w:r>
          </w:p>
        </w:tc>
        <w:tc>
          <w:tcPr>
            <w:tcW w:w="1475" w:type="dxa"/>
            <w:tcBorders>
              <w:top w:val="single" w:sz="4" w:space="0" w:color="auto"/>
              <w:left w:val="nil"/>
              <w:bottom w:val="single" w:sz="4" w:space="0" w:color="auto"/>
              <w:right w:val="nil"/>
            </w:tcBorders>
          </w:tcPr>
          <w:p w:rsidR="007B5F7D" w:rsidRDefault="007B5F7D" w:rsidP="00F8288F">
            <w:pPr>
              <w:pStyle w:val="NoSpacing"/>
              <w:jc w:val="right"/>
            </w:pPr>
          </w:p>
          <w:p w:rsidR="007B5F7D" w:rsidRDefault="007B5F7D" w:rsidP="00F8288F">
            <w:pPr>
              <w:pStyle w:val="NoSpacing"/>
              <w:jc w:val="right"/>
            </w:pPr>
            <w:r>
              <w:t>9,941</w:t>
            </w:r>
          </w:p>
        </w:tc>
        <w:tc>
          <w:tcPr>
            <w:tcW w:w="1470" w:type="dxa"/>
            <w:tcBorders>
              <w:top w:val="single" w:sz="4" w:space="0" w:color="auto"/>
              <w:left w:val="nil"/>
              <w:bottom w:val="single" w:sz="4" w:space="0" w:color="auto"/>
              <w:right w:val="single" w:sz="4" w:space="0" w:color="auto"/>
            </w:tcBorders>
          </w:tcPr>
          <w:p w:rsidR="007B5F7D" w:rsidRDefault="007B5F7D" w:rsidP="00F8288F">
            <w:pPr>
              <w:pStyle w:val="NoSpacing"/>
              <w:jc w:val="right"/>
            </w:pPr>
          </w:p>
          <w:p w:rsidR="007B5F7D" w:rsidRDefault="00F86466" w:rsidP="00F8288F">
            <w:pPr>
              <w:pStyle w:val="NoSpacing"/>
              <w:jc w:val="right"/>
            </w:pPr>
            <w:r>
              <w:t>9,941</w:t>
            </w:r>
          </w:p>
        </w:tc>
      </w:tr>
      <w:tr w:rsidR="007B5F7D" w:rsidTr="00F8288F">
        <w:tc>
          <w:tcPr>
            <w:tcW w:w="3600" w:type="dxa"/>
            <w:tcBorders>
              <w:top w:val="nil"/>
              <w:left w:val="nil"/>
              <w:bottom w:val="nil"/>
              <w:right w:val="nil"/>
            </w:tcBorders>
          </w:tcPr>
          <w:p w:rsidR="007B5F7D" w:rsidRDefault="007B5F7D" w:rsidP="00A93566">
            <w:pPr>
              <w:pStyle w:val="NoSpacing"/>
              <w:jc w:val="both"/>
            </w:pPr>
          </w:p>
        </w:tc>
        <w:tc>
          <w:tcPr>
            <w:tcW w:w="1620" w:type="dxa"/>
            <w:tcBorders>
              <w:top w:val="single" w:sz="4" w:space="0" w:color="auto"/>
              <w:left w:val="nil"/>
              <w:bottom w:val="nil"/>
              <w:right w:val="nil"/>
            </w:tcBorders>
          </w:tcPr>
          <w:p w:rsidR="007B5F7D" w:rsidRDefault="007B5F7D" w:rsidP="00F8288F">
            <w:pPr>
              <w:pStyle w:val="NoSpacing"/>
              <w:jc w:val="right"/>
            </w:pPr>
          </w:p>
        </w:tc>
        <w:tc>
          <w:tcPr>
            <w:tcW w:w="1483" w:type="dxa"/>
            <w:tcBorders>
              <w:top w:val="single" w:sz="4" w:space="0" w:color="auto"/>
              <w:left w:val="nil"/>
              <w:bottom w:val="nil"/>
              <w:right w:val="nil"/>
            </w:tcBorders>
          </w:tcPr>
          <w:p w:rsidR="007B5F7D" w:rsidRDefault="007B5F7D" w:rsidP="00F8288F">
            <w:pPr>
              <w:pStyle w:val="NoSpacing"/>
              <w:jc w:val="right"/>
            </w:pPr>
          </w:p>
        </w:tc>
        <w:tc>
          <w:tcPr>
            <w:tcW w:w="1475" w:type="dxa"/>
            <w:tcBorders>
              <w:top w:val="single" w:sz="4" w:space="0" w:color="auto"/>
              <w:left w:val="nil"/>
              <w:bottom w:val="nil"/>
              <w:right w:val="nil"/>
            </w:tcBorders>
          </w:tcPr>
          <w:p w:rsidR="007B5F7D" w:rsidRDefault="007B5F7D" w:rsidP="00F8288F">
            <w:pPr>
              <w:pStyle w:val="NoSpacing"/>
              <w:jc w:val="right"/>
            </w:pPr>
          </w:p>
        </w:tc>
        <w:tc>
          <w:tcPr>
            <w:tcW w:w="1470" w:type="dxa"/>
            <w:tcBorders>
              <w:top w:val="single" w:sz="4" w:space="0" w:color="auto"/>
              <w:left w:val="nil"/>
              <w:bottom w:val="nil"/>
              <w:right w:val="nil"/>
            </w:tcBorders>
          </w:tcPr>
          <w:p w:rsidR="007B5F7D" w:rsidRDefault="007B5F7D" w:rsidP="00F8288F">
            <w:pPr>
              <w:pStyle w:val="NoSpacing"/>
              <w:jc w:val="right"/>
            </w:pPr>
          </w:p>
        </w:tc>
      </w:tr>
      <w:tr w:rsidR="007B5F7D" w:rsidTr="00F8288F">
        <w:tc>
          <w:tcPr>
            <w:tcW w:w="3600" w:type="dxa"/>
            <w:tcBorders>
              <w:top w:val="nil"/>
              <w:left w:val="nil"/>
              <w:bottom w:val="nil"/>
              <w:right w:val="nil"/>
            </w:tcBorders>
          </w:tcPr>
          <w:p w:rsidR="007B5F7D" w:rsidRPr="00F37D49" w:rsidRDefault="007B5F7D" w:rsidP="00A93566">
            <w:pPr>
              <w:pStyle w:val="NoSpacing"/>
              <w:jc w:val="both"/>
              <w:rPr>
                <w:b/>
              </w:rPr>
            </w:pPr>
            <w:r w:rsidRPr="00F37D49">
              <w:rPr>
                <w:b/>
              </w:rPr>
              <w:t>Transactions with owners:</w:t>
            </w:r>
          </w:p>
        </w:tc>
        <w:tc>
          <w:tcPr>
            <w:tcW w:w="1620" w:type="dxa"/>
            <w:tcBorders>
              <w:top w:val="nil"/>
              <w:left w:val="nil"/>
              <w:bottom w:val="nil"/>
              <w:right w:val="nil"/>
            </w:tcBorders>
          </w:tcPr>
          <w:p w:rsidR="007B5F7D" w:rsidRDefault="007B5F7D" w:rsidP="00F8288F">
            <w:pPr>
              <w:pStyle w:val="NoSpacing"/>
              <w:jc w:val="right"/>
            </w:pPr>
          </w:p>
        </w:tc>
        <w:tc>
          <w:tcPr>
            <w:tcW w:w="1483" w:type="dxa"/>
            <w:tcBorders>
              <w:top w:val="nil"/>
              <w:left w:val="nil"/>
              <w:bottom w:val="nil"/>
              <w:right w:val="nil"/>
            </w:tcBorders>
          </w:tcPr>
          <w:p w:rsidR="007B5F7D" w:rsidRDefault="007B5F7D" w:rsidP="00F8288F">
            <w:pPr>
              <w:pStyle w:val="NoSpacing"/>
              <w:jc w:val="right"/>
            </w:pPr>
          </w:p>
        </w:tc>
        <w:tc>
          <w:tcPr>
            <w:tcW w:w="1475" w:type="dxa"/>
            <w:tcBorders>
              <w:top w:val="nil"/>
              <w:left w:val="nil"/>
              <w:bottom w:val="nil"/>
              <w:right w:val="nil"/>
            </w:tcBorders>
          </w:tcPr>
          <w:p w:rsidR="007B5F7D" w:rsidRDefault="007B5F7D" w:rsidP="00F8288F">
            <w:pPr>
              <w:pStyle w:val="NoSpacing"/>
              <w:jc w:val="right"/>
            </w:pPr>
          </w:p>
        </w:tc>
        <w:tc>
          <w:tcPr>
            <w:tcW w:w="1470" w:type="dxa"/>
            <w:tcBorders>
              <w:top w:val="nil"/>
              <w:left w:val="nil"/>
              <w:bottom w:val="nil"/>
              <w:right w:val="nil"/>
            </w:tcBorders>
          </w:tcPr>
          <w:p w:rsidR="007B5F7D" w:rsidRDefault="007B5F7D" w:rsidP="00F8288F">
            <w:pPr>
              <w:pStyle w:val="NoSpacing"/>
              <w:jc w:val="right"/>
            </w:pPr>
          </w:p>
        </w:tc>
      </w:tr>
      <w:tr w:rsidR="007B5F7D" w:rsidTr="00F8288F">
        <w:tc>
          <w:tcPr>
            <w:tcW w:w="3600" w:type="dxa"/>
            <w:tcBorders>
              <w:top w:val="nil"/>
              <w:left w:val="nil"/>
              <w:bottom w:val="nil"/>
              <w:right w:val="nil"/>
            </w:tcBorders>
          </w:tcPr>
          <w:p w:rsidR="007B5F7D" w:rsidRDefault="00F86466" w:rsidP="00F86466">
            <w:pPr>
              <w:pStyle w:val="NoSpacing"/>
              <w:numPr>
                <w:ilvl w:val="0"/>
                <w:numId w:val="8"/>
              </w:numPr>
              <w:jc w:val="both"/>
            </w:pPr>
            <w:r>
              <w:t xml:space="preserve">Acquisition of </w:t>
            </w:r>
            <w:r w:rsidR="007B5F7D">
              <w:t>subsidiar</w:t>
            </w:r>
            <w:r>
              <w:t>ies</w:t>
            </w:r>
            <w:r w:rsidR="007B5F7D">
              <w:t>, accounted for as reverse acquisition reserve</w:t>
            </w:r>
          </w:p>
        </w:tc>
        <w:tc>
          <w:tcPr>
            <w:tcW w:w="1620" w:type="dxa"/>
            <w:tcBorders>
              <w:top w:val="nil"/>
              <w:left w:val="nil"/>
              <w:bottom w:val="nil"/>
              <w:right w:val="nil"/>
            </w:tcBorders>
          </w:tcPr>
          <w:p w:rsidR="007B5F7D" w:rsidRDefault="007B5F7D" w:rsidP="00F8288F">
            <w:pPr>
              <w:pStyle w:val="NoSpacing"/>
              <w:jc w:val="right"/>
            </w:pPr>
          </w:p>
          <w:p w:rsidR="007B5F7D" w:rsidRDefault="007B5F7D" w:rsidP="00F8288F">
            <w:pPr>
              <w:pStyle w:val="NoSpacing"/>
              <w:jc w:val="right"/>
            </w:pPr>
          </w:p>
          <w:p w:rsidR="007B5F7D" w:rsidRDefault="007B5F7D" w:rsidP="00F8288F">
            <w:pPr>
              <w:pStyle w:val="NoSpacing"/>
              <w:jc w:val="right"/>
            </w:pPr>
            <w:r>
              <w:t>96,000</w:t>
            </w:r>
          </w:p>
        </w:tc>
        <w:tc>
          <w:tcPr>
            <w:tcW w:w="1483" w:type="dxa"/>
            <w:tcBorders>
              <w:top w:val="nil"/>
              <w:left w:val="nil"/>
              <w:bottom w:val="nil"/>
              <w:right w:val="nil"/>
            </w:tcBorders>
          </w:tcPr>
          <w:p w:rsidR="007B5F7D" w:rsidRDefault="007B5F7D" w:rsidP="00F8288F">
            <w:pPr>
              <w:pStyle w:val="NoSpacing"/>
              <w:jc w:val="right"/>
            </w:pPr>
          </w:p>
          <w:p w:rsidR="007B5F7D" w:rsidRDefault="007B5F7D" w:rsidP="00F8288F">
            <w:pPr>
              <w:pStyle w:val="NoSpacing"/>
              <w:jc w:val="right"/>
            </w:pPr>
          </w:p>
          <w:p w:rsidR="007B5F7D" w:rsidRDefault="007B5F7D" w:rsidP="00F8288F">
            <w:pPr>
              <w:pStyle w:val="NoSpacing"/>
              <w:jc w:val="right"/>
            </w:pPr>
            <w:r>
              <w:t>(91,000)</w:t>
            </w:r>
          </w:p>
        </w:tc>
        <w:tc>
          <w:tcPr>
            <w:tcW w:w="1475" w:type="dxa"/>
            <w:tcBorders>
              <w:top w:val="nil"/>
              <w:left w:val="nil"/>
              <w:bottom w:val="nil"/>
              <w:right w:val="nil"/>
            </w:tcBorders>
          </w:tcPr>
          <w:p w:rsidR="007B5F7D" w:rsidRDefault="007B5F7D" w:rsidP="00F8288F">
            <w:pPr>
              <w:pStyle w:val="NoSpacing"/>
              <w:jc w:val="right"/>
            </w:pPr>
          </w:p>
          <w:p w:rsidR="007B5F7D" w:rsidRDefault="007B5F7D" w:rsidP="00F8288F">
            <w:pPr>
              <w:pStyle w:val="NoSpacing"/>
              <w:jc w:val="right"/>
            </w:pPr>
          </w:p>
          <w:p w:rsidR="007B5F7D" w:rsidRDefault="002579B7" w:rsidP="00F8288F">
            <w:pPr>
              <w:pStyle w:val="NoSpacing"/>
              <w:jc w:val="right"/>
            </w:pPr>
            <w:r>
              <w:t>26,763</w:t>
            </w:r>
          </w:p>
        </w:tc>
        <w:tc>
          <w:tcPr>
            <w:tcW w:w="1470" w:type="dxa"/>
            <w:tcBorders>
              <w:top w:val="nil"/>
              <w:left w:val="nil"/>
              <w:bottom w:val="nil"/>
              <w:right w:val="nil"/>
            </w:tcBorders>
          </w:tcPr>
          <w:p w:rsidR="007B5F7D" w:rsidRDefault="007B5F7D" w:rsidP="00F8288F">
            <w:pPr>
              <w:pStyle w:val="NoSpacing"/>
              <w:jc w:val="right"/>
            </w:pPr>
          </w:p>
          <w:p w:rsidR="007B5F7D" w:rsidRDefault="007B5F7D" w:rsidP="00F8288F">
            <w:pPr>
              <w:pStyle w:val="NoSpacing"/>
              <w:jc w:val="right"/>
            </w:pPr>
          </w:p>
          <w:p w:rsidR="007B5F7D" w:rsidRDefault="002579B7" w:rsidP="00F8288F">
            <w:pPr>
              <w:pStyle w:val="NoSpacing"/>
              <w:jc w:val="right"/>
            </w:pPr>
            <w:r>
              <w:t>31,763</w:t>
            </w:r>
          </w:p>
        </w:tc>
      </w:tr>
      <w:tr w:rsidR="007B5F7D" w:rsidTr="00F8288F">
        <w:tc>
          <w:tcPr>
            <w:tcW w:w="3600" w:type="dxa"/>
            <w:tcBorders>
              <w:top w:val="nil"/>
              <w:left w:val="nil"/>
              <w:bottom w:val="nil"/>
              <w:right w:val="nil"/>
            </w:tcBorders>
          </w:tcPr>
          <w:p w:rsidR="007B5F7D" w:rsidRDefault="007B5F7D" w:rsidP="00874003">
            <w:pPr>
              <w:pStyle w:val="NoSpacing"/>
              <w:numPr>
                <w:ilvl w:val="0"/>
                <w:numId w:val="8"/>
              </w:numPr>
              <w:jc w:val="both"/>
            </w:pPr>
            <w:r>
              <w:t>Scheme of arrangement with shareholders</w:t>
            </w:r>
          </w:p>
        </w:tc>
        <w:tc>
          <w:tcPr>
            <w:tcW w:w="1620" w:type="dxa"/>
            <w:tcBorders>
              <w:top w:val="nil"/>
              <w:left w:val="nil"/>
              <w:bottom w:val="nil"/>
              <w:right w:val="nil"/>
            </w:tcBorders>
          </w:tcPr>
          <w:p w:rsidR="007B5F7D" w:rsidRDefault="007B5F7D" w:rsidP="00F8288F">
            <w:pPr>
              <w:pStyle w:val="NoSpacing"/>
              <w:jc w:val="right"/>
            </w:pPr>
          </w:p>
          <w:p w:rsidR="007B5F7D" w:rsidRDefault="007B5F7D" w:rsidP="00F8288F">
            <w:pPr>
              <w:pStyle w:val="NoSpacing"/>
              <w:jc w:val="right"/>
            </w:pPr>
            <w:r>
              <w:t>9,955</w:t>
            </w:r>
          </w:p>
        </w:tc>
        <w:tc>
          <w:tcPr>
            <w:tcW w:w="1483" w:type="dxa"/>
            <w:tcBorders>
              <w:top w:val="nil"/>
              <w:left w:val="nil"/>
              <w:bottom w:val="nil"/>
              <w:right w:val="nil"/>
            </w:tcBorders>
          </w:tcPr>
          <w:p w:rsidR="007B5F7D" w:rsidRDefault="007B5F7D" w:rsidP="00F8288F">
            <w:pPr>
              <w:pStyle w:val="NoSpacing"/>
              <w:jc w:val="right"/>
            </w:pPr>
          </w:p>
          <w:p w:rsidR="007B5F7D" w:rsidRDefault="007B5F7D" w:rsidP="00F8288F">
            <w:pPr>
              <w:pStyle w:val="NoSpacing"/>
              <w:jc w:val="right"/>
            </w:pPr>
            <w:r>
              <w:t>-</w:t>
            </w:r>
          </w:p>
        </w:tc>
        <w:tc>
          <w:tcPr>
            <w:tcW w:w="1475" w:type="dxa"/>
            <w:tcBorders>
              <w:top w:val="nil"/>
              <w:left w:val="nil"/>
              <w:bottom w:val="nil"/>
              <w:right w:val="nil"/>
            </w:tcBorders>
          </w:tcPr>
          <w:p w:rsidR="007B5F7D" w:rsidRDefault="007B5F7D" w:rsidP="00F8288F">
            <w:pPr>
              <w:pStyle w:val="NoSpacing"/>
              <w:jc w:val="right"/>
            </w:pPr>
          </w:p>
          <w:p w:rsidR="007B5F7D" w:rsidRDefault="002579B7" w:rsidP="002579B7">
            <w:pPr>
              <w:pStyle w:val="NoSpacing"/>
              <w:jc w:val="right"/>
            </w:pPr>
            <w:r>
              <w:t>-</w:t>
            </w:r>
          </w:p>
        </w:tc>
        <w:tc>
          <w:tcPr>
            <w:tcW w:w="1470" w:type="dxa"/>
            <w:tcBorders>
              <w:top w:val="nil"/>
              <w:left w:val="nil"/>
              <w:bottom w:val="nil"/>
              <w:right w:val="nil"/>
            </w:tcBorders>
          </w:tcPr>
          <w:p w:rsidR="007B5F7D" w:rsidRDefault="007B5F7D" w:rsidP="00F8288F">
            <w:pPr>
              <w:pStyle w:val="NoSpacing"/>
              <w:jc w:val="right"/>
            </w:pPr>
          </w:p>
          <w:p w:rsidR="007B5F7D" w:rsidRDefault="002579B7" w:rsidP="00F8288F">
            <w:pPr>
              <w:pStyle w:val="NoSpacing"/>
              <w:jc w:val="right"/>
            </w:pPr>
            <w:r>
              <w:t>9,955</w:t>
            </w:r>
          </w:p>
        </w:tc>
      </w:tr>
      <w:tr w:rsidR="007B5F7D" w:rsidTr="00F8288F">
        <w:tc>
          <w:tcPr>
            <w:tcW w:w="3600" w:type="dxa"/>
            <w:tcBorders>
              <w:top w:val="nil"/>
              <w:left w:val="nil"/>
              <w:bottom w:val="nil"/>
              <w:right w:val="nil"/>
            </w:tcBorders>
          </w:tcPr>
          <w:p w:rsidR="007B5F7D" w:rsidRDefault="007B5F7D" w:rsidP="00874003">
            <w:pPr>
              <w:pStyle w:val="NoSpacing"/>
              <w:numPr>
                <w:ilvl w:val="0"/>
                <w:numId w:val="8"/>
              </w:numPr>
              <w:jc w:val="both"/>
            </w:pPr>
            <w:r>
              <w:t>Issuance of shares</w:t>
            </w:r>
          </w:p>
        </w:tc>
        <w:tc>
          <w:tcPr>
            <w:tcW w:w="1620" w:type="dxa"/>
            <w:tcBorders>
              <w:top w:val="nil"/>
              <w:left w:val="nil"/>
              <w:bottom w:val="nil"/>
              <w:right w:val="nil"/>
            </w:tcBorders>
          </w:tcPr>
          <w:p w:rsidR="007B5F7D" w:rsidRDefault="007B5F7D" w:rsidP="00F8288F">
            <w:pPr>
              <w:pStyle w:val="NoSpacing"/>
              <w:jc w:val="right"/>
            </w:pPr>
            <w:r>
              <w:t>10,000</w:t>
            </w:r>
          </w:p>
        </w:tc>
        <w:tc>
          <w:tcPr>
            <w:tcW w:w="1483" w:type="dxa"/>
            <w:tcBorders>
              <w:top w:val="nil"/>
              <w:left w:val="nil"/>
              <w:bottom w:val="nil"/>
              <w:right w:val="nil"/>
            </w:tcBorders>
          </w:tcPr>
          <w:p w:rsidR="007B5F7D" w:rsidRDefault="007B5F7D" w:rsidP="00F8288F">
            <w:pPr>
              <w:pStyle w:val="NoSpacing"/>
              <w:jc w:val="right"/>
            </w:pPr>
            <w:r>
              <w:t>-</w:t>
            </w:r>
          </w:p>
        </w:tc>
        <w:tc>
          <w:tcPr>
            <w:tcW w:w="1475" w:type="dxa"/>
            <w:tcBorders>
              <w:top w:val="nil"/>
              <w:left w:val="nil"/>
              <w:bottom w:val="nil"/>
              <w:right w:val="nil"/>
            </w:tcBorders>
          </w:tcPr>
          <w:p w:rsidR="007B5F7D" w:rsidRDefault="007B5F7D" w:rsidP="00F8288F">
            <w:pPr>
              <w:pStyle w:val="NoSpacing"/>
              <w:jc w:val="right"/>
            </w:pPr>
            <w:r>
              <w:t>-</w:t>
            </w:r>
          </w:p>
        </w:tc>
        <w:tc>
          <w:tcPr>
            <w:tcW w:w="1470" w:type="dxa"/>
            <w:tcBorders>
              <w:top w:val="nil"/>
              <w:left w:val="nil"/>
              <w:bottom w:val="nil"/>
              <w:right w:val="nil"/>
            </w:tcBorders>
          </w:tcPr>
          <w:p w:rsidR="007B5F7D" w:rsidRDefault="007B5F7D" w:rsidP="00F8288F">
            <w:pPr>
              <w:pStyle w:val="NoSpacing"/>
              <w:jc w:val="right"/>
            </w:pPr>
            <w:r>
              <w:t>10,000</w:t>
            </w:r>
          </w:p>
        </w:tc>
      </w:tr>
      <w:tr w:rsidR="007B5F7D" w:rsidTr="00F8288F">
        <w:tc>
          <w:tcPr>
            <w:tcW w:w="3600" w:type="dxa"/>
            <w:tcBorders>
              <w:top w:val="nil"/>
              <w:left w:val="nil"/>
              <w:bottom w:val="nil"/>
              <w:right w:val="nil"/>
            </w:tcBorders>
          </w:tcPr>
          <w:p w:rsidR="007B5F7D" w:rsidRDefault="007B5F7D" w:rsidP="00F37D49">
            <w:pPr>
              <w:pStyle w:val="NoSpacing"/>
              <w:ind w:left="720"/>
              <w:jc w:val="both"/>
            </w:pPr>
          </w:p>
        </w:tc>
        <w:tc>
          <w:tcPr>
            <w:tcW w:w="1620" w:type="dxa"/>
            <w:tcBorders>
              <w:top w:val="nil"/>
              <w:left w:val="nil"/>
              <w:bottom w:val="single" w:sz="4" w:space="0" w:color="auto"/>
              <w:right w:val="nil"/>
            </w:tcBorders>
          </w:tcPr>
          <w:p w:rsidR="007B5F7D" w:rsidRDefault="007B5F7D" w:rsidP="00F8288F">
            <w:pPr>
              <w:pStyle w:val="NoSpacing"/>
              <w:jc w:val="right"/>
            </w:pPr>
          </w:p>
        </w:tc>
        <w:tc>
          <w:tcPr>
            <w:tcW w:w="1483" w:type="dxa"/>
            <w:tcBorders>
              <w:top w:val="nil"/>
              <w:left w:val="nil"/>
              <w:bottom w:val="single" w:sz="4" w:space="0" w:color="auto"/>
              <w:right w:val="nil"/>
            </w:tcBorders>
          </w:tcPr>
          <w:p w:rsidR="007B5F7D" w:rsidRDefault="007B5F7D" w:rsidP="00F8288F">
            <w:pPr>
              <w:pStyle w:val="NoSpacing"/>
              <w:jc w:val="right"/>
            </w:pPr>
          </w:p>
        </w:tc>
        <w:tc>
          <w:tcPr>
            <w:tcW w:w="1475" w:type="dxa"/>
            <w:tcBorders>
              <w:top w:val="nil"/>
              <w:left w:val="nil"/>
              <w:bottom w:val="single" w:sz="4" w:space="0" w:color="auto"/>
              <w:right w:val="nil"/>
            </w:tcBorders>
          </w:tcPr>
          <w:p w:rsidR="007B5F7D" w:rsidRDefault="007B5F7D" w:rsidP="00F8288F">
            <w:pPr>
              <w:pStyle w:val="NoSpacing"/>
              <w:jc w:val="right"/>
            </w:pPr>
          </w:p>
        </w:tc>
        <w:tc>
          <w:tcPr>
            <w:tcW w:w="1470" w:type="dxa"/>
            <w:tcBorders>
              <w:top w:val="nil"/>
              <w:left w:val="nil"/>
              <w:bottom w:val="single" w:sz="4" w:space="0" w:color="auto"/>
              <w:right w:val="nil"/>
            </w:tcBorders>
          </w:tcPr>
          <w:p w:rsidR="007B5F7D" w:rsidRDefault="007B5F7D" w:rsidP="00F8288F">
            <w:pPr>
              <w:pStyle w:val="NoSpacing"/>
              <w:jc w:val="right"/>
            </w:pPr>
          </w:p>
        </w:tc>
      </w:tr>
      <w:tr w:rsidR="007B5F7D" w:rsidRPr="00F37D49" w:rsidTr="00F8288F">
        <w:tc>
          <w:tcPr>
            <w:tcW w:w="3600" w:type="dxa"/>
            <w:tcBorders>
              <w:top w:val="nil"/>
              <w:left w:val="nil"/>
              <w:bottom w:val="nil"/>
              <w:right w:val="nil"/>
            </w:tcBorders>
          </w:tcPr>
          <w:p w:rsidR="007B5F7D" w:rsidRPr="00F37D49" w:rsidRDefault="007B5F7D" w:rsidP="00A93566">
            <w:pPr>
              <w:pStyle w:val="NoSpacing"/>
              <w:jc w:val="both"/>
              <w:rPr>
                <w:b/>
              </w:rPr>
            </w:pPr>
            <w:r w:rsidRPr="00F37D49">
              <w:rPr>
                <w:b/>
              </w:rPr>
              <w:t>As at 30 September 2012</w:t>
            </w:r>
          </w:p>
        </w:tc>
        <w:tc>
          <w:tcPr>
            <w:tcW w:w="1620"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sidRPr="00F37D49">
              <w:rPr>
                <w:b/>
              </w:rPr>
              <w:t>115,955</w:t>
            </w:r>
          </w:p>
        </w:tc>
        <w:tc>
          <w:tcPr>
            <w:tcW w:w="1483"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Pr>
                <w:b/>
              </w:rPr>
              <w:t>(91,000)</w:t>
            </w:r>
          </w:p>
        </w:tc>
        <w:tc>
          <w:tcPr>
            <w:tcW w:w="1475"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Pr>
                <w:b/>
              </w:rPr>
              <w:t>36,698</w:t>
            </w:r>
          </w:p>
        </w:tc>
        <w:tc>
          <w:tcPr>
            <w:tcW w:w="1470" w:type="dxa"/>
            <w:tcBorders>
              <w:top w:val="single" w:sz="4" w:space="0" w:color="auto"/>
              <w:left w:val="nil"/>
              <w:bottom w:val="single" w:sz="4" w:space="0" w:color="auto"/>
              <w:right w:val="nil"/>
            </w:tcBorders>
          </w:tcPr>
          <w:p w:rsidR="007B5F7D" w:rsidRPr="00F37D49" w:rsidRDefault="007B5F7D" w:rsidP="00F8288F">
            <w:pPr>
              <w:pStyle w:val="NoSpacing"/>
              <w:jc w:val="right"/>
              <w:rPr>
                <w:b/>
              </w:rPr>
            </w:pPr>
            <w:r>
              <w:rPr>
                <w:b/>
              </w:rPr>
              <w:t>61,653</w:t>
            </w:r>
          </w:p>
        </w:tc>
      </w:tr>
    </w:tbl>
    <w:p w:rsidR="00516A35" w:rsidRDefault="00516A35" w:rsidP="00A93566">
      <w:pPr>
        <w:pStyle w:val="NoSpacing"/>
        <w:ind w:left="720" w:hanging="720"/>
        <w:jc w:val="both"/>
      </w:pPr>
    </w:p>
    <w:p w:rsidR="00F8288F" w:rsidRPr="00120E3B" w:rsidRDefault="00F8288F" w:rsidP="00F8288F">
      <w:pPr>
        <w:pStyle w:val="NoSpacing"/>
        <w:rPr>
          <w:sz w:val="20"/>
          <w:szCs w:val="20"/>
        </w:rPr>
      </w:pPr>
      <w:r w:rsidRPr="00120E3B">
        <w:rPr>
          <w:sz w:val="20"/>
          <w:szCs w:val="20"/>
        </w:rPr>
        <w:t>Notes:</w:t>
      </w:r>
    </w:p>
    <w:p w:rsidR="00F8288F" w:rsidRPr="00F8288F" w:rsidRDefault="00F8288F" w:rsidP="00F37D49">
      <w:pPr>
        <w:pStyle w:val="NoSpacing"/>
        <w:numPr>
          <w:ilvl w:val="0"/>
          <w:numId w:val="10"/>
        </w:numPr>
        <w:jc w:val="both"/>
        <w:rPr>
          <w:sz w:val="20"/>
          <w:szCs w:val="20"/>
        </w:rPr>
      </w:pPr>
      <w:r w:rsidRPr="00F8288F">
        <w:rPr>
          <w:sz w:val="20"/>
          <w:szCs w:val="20"/>
        </w:rPr>
        <w:t xml:space="preserve">The above </w:t>
      </w:r>
      <w:proofErr w:type="spellStart"/>
      <w:r w:rsidRPr="00F8288F">
        <w:rPr>
          <w:sz w:val="20"/>
          <w:szCs w:val="20"/>
        </w:rPr>
        <w:t>proforma</w:t>
      </w:r>
      <w:proofErr w:type="spellEnd"/>
      <w:r w:rsidRPr="00F8288F">
        <w:rPr>
          <w:sz w:val="20"/>
          <w:szCs w:val="20"/>
        </w:rPr>
        <w:t xml:space="preserve"> unaudited condensed consolidated </w:t>
      </w:r>
      <w:r w:rsidR="000D0EEF">
        <w:rPr>
          <w:sz w:val="20"/>
          <w:szCs w:val="20"/>
        </w:rPr>
        <w:t>statement of changes in equity</w:t>
      </w:r>
      <w:r w:rsidRPr="00F8288F">
        <w:rPr>
          <w:sz w:val="20"/>
          <w:szCs w:val="20"/>
        </w:rPr>
        <w:t xml:space="preserve"> is for illustration purpose only. It is prepared based on the </w:t>
      </w:r>
      <w:r w:rsidR="000D0EEF">
        <w:rPr>
          <w:sz w:val="20"/>
          <w:szCs w:val="20"/>
        </w:rPr>
        <w:t>changes in equity</w:t>
      </w:r>
      <w:r w:rsidRPr="00F8288F">
        <w:rPr>
          <w:sz w:val="20"/>
          <w:szCs w:val="20"/>
        </w:rPr>
        <w:t xml:space="preserve"> of the Company and its subsidiaries assuming the Group has existed since inception. </w:t>
      </w:r>
    </w:p>
    <w:p w:rsidR="00F37D49" w:rsidRDefault="00F37D49" w:rsidP="00F37D49">
      <w:pPr>
        <w:pStyle w:val="NoSpacing"/>
        <w:numPr>
          <w:ilvl w:val="0"/>
          <w:numId w:val="10"/>
        </w:numPr>
        <w:jc w:val="both"/>
        <w:rPr>
          <w:sz w:val="20"/>
          <w:szCs w:val="20"/>
        </w:rPr>
      </w:pPr>
      <w:proofErr w:type="gramStart"/>
      <w:r w:rsidRPr="00F8288F">
        <w:rPr>
          <w:sz w:val="20"/>
          <w:szCs w:val="20"/>
        </w:rPr>
        <w:t>*  Denotes</w:t>
      </w:r>
      <w:proofErr w:type="gramEnd"/>
      <w:r w:rsidRPr="00F8288F">
        <w:rPr>
          <w:sz w:val="20"/>
          <w:szCs w:val="20"/>
        </w:rPr>
        <w:t xml:space="preserve"> RM2.</w:t>
      </w:r>
    </w:p>
    <w:p w:rsidR="00F8288F" w:rsidRDefault="00F8288F" w:rsidP="00F8288F">
      <w:pPr>
        <w:pStyle w:val="NoSpacing"/>
        <w:jc w:val="both"/>
        <w:rPr>
          <w:sz w:val="20"/>
          <w:szCs w:val="20"/>
        </w:rPr>
      </w:pPr>
    </w:p>
    <w:p w:rsidR="00F8288F" w:rsidRDefault="00F8288F" w:rsidP="00F8288F">
      <w:pPr>
        <w:pStyle w:val="NoSpacing"/>
        <w:jc w:val="both"/>
      </w:pPr>
      <w:r>
        <w:t>The unaudited condensed consolidated statement of statement of changes in equity should be read in conjunction with the Accountants’ Report on the PMHB Group for the financial year ended 31 December 2011 as disclosed in the Explanatory Statement-Cum-Circular dated 11 July 2012.</w:t>
      </w:r>
    </w:p>
    <w:p w:rsidR="00F8288F" w:rsidRDefault="00F8288F">
      <w:r>
        <w:br w:type="page"/>
      </w:r>
    </w:p>
    <w:p w:rsidR="00F8288F" w:rsidRPr="002F1C6E" w:rsidRDefault="00F8288F" w:rsidP="00F8288F">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F8288F" w:rsidRPr="004C2064" w:rsidRDefault="00F8288F" w:rsidP="00F8288F">
      <w:pPr>
        <w:pStyle w:val="NoSpacing"/>
        <w:rPr>
          <w:b/>
        </w:rPr>
      </w:pPr>
      <w:r w:rsidRPr="004C2064">
        <w:rPr>
          <w:b/>
        </w:rPr>
        <w:t xml:space="preserve">UNAUDITED CONDENSED CONSOLIDATED </w:t>
      </w:r>
      <w:r>
        <w:rPr>
          <w:b/>
        </w:rPr>
        <w:t xml:space="preserve">CASH FLOW </w:t>
      </w:r>
      <w:r w:rsidRPr="004C2064">
        <w:rPr>
          <w:b/>
        </w:rPr>
        <w:t>S</w:t>
      </w:r>
      <w:r>
        <w:rPr>
          <w:b/>
        </w:rPr>
        <w:t>TATEMENT</w:t>
      </w:r>
    </w:p>
    <w:p w:rsidR="00E756CB" w:rsidRDefault="00F8288F" w:rsidP="006063A5">
      <w:pPr>
        <w:pStyle w:val="NoSpacing"/>
      </w:pPr>
      <w:r w:rsidRPr="004C2064">
        <w:rPr>
          <w:b/>
        </w:rPr>
        <w:t>FOR THE THIRD QUARTER ENDED 30 SEPTEMBER 2012</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1292"/>
        <w:gridCol w:w="1350"/>
      </w:tblGrid>
      <w:tr w:rsidR="00015926" w:rsidRPr="00981CD4" w:rsidTr="006063A5">
        <w:tc>
          <w:tcPr>
            <w:tcW w:w="6376" w:type="dxa"/>
          </w:tcPr>
          <w:p w:rsidR="00015926" w:rsidRPr="00981CD4" w:rsidRDefault="00015926" w:rsidP="00E756CB">
            <w:pPr>
              <w:pStyle w:val="NoSpacing"/>
              <w:jc w:val="center"/>
              <w:rPr>
                <w:sz w:val="20"/>
                <w:szCs w:val="20"/>
              </w:rPr>
            </w:pPr>
          </w:p>
        </w:tc>
        <w:tc>
          <w:tcPr>
            <w:tcW w:w="1292" w:type="dxa"/>
          </w:tcPr>
          <w:p w:rsidR="00015926" w:rsidRPr="00981CD4" w:rsidRDefault="00015926" w:rsidP="00E756CB">
            <w:pPr>
              <w:pStyle w:val="NoSpacing"/>
              <w:jc w:val="right"/>
              <w:rPr>
                <w:sz w:val="20"/>
                <w:szCs w:val="20"/>
              </w:rPr>
            </w:pPr>
            <w:r w:rsidRPr="00981CD4">
              <w:rPr>
                <w:sz w:val="20"/>
                <w:szCs w:val="20"/>
              </w:rPr>
              <w:t>(Unaudited)</w:t>
            </w:r>
          </w:p>
        </w:tc>
        <w:tc>
          <w:tcPr>
            <w:tcW w:w="1350" w:type="dxa"/>
          </w:tcPr>
          <w:p w:rsidR="00015926" w:rsidRPr="00981CD4" w:rsidRDefault="00015926" w:rsidP="00E756CB">
            <w:pPr>
              <w:pStyle w:val="NoSpacing"/>
              <w:jc w:val="right"/>
              <w:rPr>
                <w:sz w:val="20"/>
                <w:szCs w:val="20"/>
              </w:rPr>
            </w:pPr>
            <w:r w:rsidRPr="00981CD4">
              <w:rPr>
                <w:sz w:val="20"/>
                <w:szCs w:val="20"/>
              </w:rPr>
              <w:t>(Unaudited)</w:t>
            </w:r>
          </w:p>
        </w:tc>
      </w:tr>
      <w:tr w:rsidR="000D0EEF" w:rsidRPr="00981CD4" w:rsidTr="006063A5">
        <w:tc>
          <w:tcPr>
            <w:tcW w:w="6376" w:type="dxa"/>
          </w:tcPr>
          <w:p w:rsidR="000D0EEF" w:rsidRPr="00981CD4" w:rsidRDefault="000D0EEF" w:rsidP="00E756CB">
            <w:pPr>
              <w:pStyle w:val="NoSpacing"/>
              <w:jc w:val="center"/>
              <w:rPr>
                <w:sz w:val="20"/>
                <w:szCs w:val="20"/>
              </w:rPr>
            </w:pPr>
          </w:p>
        </w:tc>
        <w:tc>
          <w:tcPr>
            <w:tcW w:w="1292" w:type="dxa"/>
          </w:tcPr>
          <w:p w:rsidR="000D0EEF" w:rsidRPr="00981CD4" w:rsidRDefault="003F0D2C" w:rsidP="00E756CB">
            <w:pPr>
              <w:pStyle w:val="NoSpacing"/>
              <w:jc w:val="right"/>
              <w:rPr>
                <w:sz w:val="20"/>
                <w:szCs w:val="20"/>
              </w:rPr>
            </w:pPr>
            <w:r>
              <w:rPr>
                <w:sz w:val="20"/>
                <w:szCs w:val="20"/>
              </w:rPr>
              <w:t>Current</w:t>
            </w:r>
          </w:p>
        </w:tc>
        <w:tc>
          <w:tcPr>
            <w:tcW w:w="1350" w:type="dxa"/>
          </w:tcPr>
          <w:p w:rsidR="000D0EEF" w:rsidRPr="00981CD4" w:rsidRDefault="003F0D2C" w:rsidP="00E756CB">
            <w:pPr>
              <w:pStyle w:val="NoSpacing"/>
              <w:jc w:val="right"/>
              <w:rPr>
                <w:sz w:val="20"/>
                <w:szCs w:val="20"/>
              </w:rPr>
            </w:pPr>
            <w:r>
              <w:rPr>
                <w:sz w:val="20"/>
                <w:szCs w:val="20"/>
              </w:rPr>
              <w:t>Preceding</w:t>
            </w:r>
          </w:p>
        </w:tc>
      </w:tr>
      <w:tr w:rsidR="003F0D2C" w:rsidRPr="00981CD4" w:rsidTr="006063A5">
        <w:tc>
          <w:tcPr>
            <w:tcW w:w="6376" w:type="dxa"/>
          </w:tcPr>
          <w:p w:rsidR="003F0D2C" w:rsidRPr="00981CD4" w:rsidRDefault="003F0D2C" w:rsidP="00E756CB">
            <w:pPr>
              <w:pStyle w:val="NoSpacing"/>
              <w:jc w:val="center"/>
              <w:rPr>
                <w:sz w:val="20"/>
                <w:szCs w:val="20"/>
              </w:rPr>
            </w:pPr>
          </w:p>
        </w:tc>
        <w:tc>
          <w:tcPr>
            <w:tcW w:w="1292" w:type="dxa"/>
          </w:tcPr>
          <w:p w:rsidR="003F0D2C" w:rsidRDefault="003F0D2C" w:rsidP="00E756CB">
            <w:pPr>
              <w:pStyle w:val="NoSpacing"/>
              <w:jc w:val="right"/>
              <w:rPr>
                <w:sz w:val="20"/>
                <w:szCs w:val="20"/>
              </w:rPr>
            </w:pPr>
            <w:r>
              <w:rPr>
                <w:sz w:val="20"/>
                <w:szCs w:val="20"/>
              </w:rPr>
              <w:t>Year to date</w:t>
            </w:r>
          </w:p>
        </w:tc>
        <w:tc>
          <w:tcPr>
            <w:tcW w:w="1350" w:type="dxa"/>
          </w:tcPr>
          <w:p w:rsidR="003F0D2C" w:rsidRPr="00981CD4" w:rsidRDefault="003F0D2C" w:rsidP="00E756CB">
            <w:pPr>
              <w:pStyle w:val="NoSpacing"/>
              <w:jc w:val="right"/>
              <w:rPr>
                <w:sz w:val="20"/>
                <w:szCs w:val="20"/>
              </w:rPr>
            </w:pPr>
            <w:r>
              <w:rPr>
                <w:sz w:val="20"/>
                <w:szCs w:val="20"/>
              </w:rPr>
              <w:t>Year to date</w:t>
            </w:r>
          </w:p>
        </w:tc>
      </w:tr>
      <w:tr w:rsidR="00015926" w:rsidRPr="00981CD4" w:rsidTr="006063A5">
        <w:tc>
          <w:tcPr>
            <w:tcW w:w="6376" w:type="dxa"/>
          </w:tcPr>
          <w:p w:rsidR="00015926" w:rsidRPr="00981CD4" w:rsidRDefault="00015926" w:rsidP="00E756CB">
            <w:pPr>
              <w:pStyle w:val="NoSpacing"/>
              <w:jc w:val="center"/>
              <w:rPr>
                <w:sz w:val="20"/>
                <w:szCs w:val="20"/>
              </w:rPr>
            </w:pPr>
          </w:p>
        </w:tc>
        <w:tc>
          <w:tcPr>
            <w:tcW w:w="1292" w:type="dxa"/>
          </w:tcPr>
          <w:p w:rsidR="00015926" w:rsidRPr="00981CD4" w:rsidRDefault="00015926" w:rsidP="00E756CB">
            <w:pPr>
              <w:pStyle w:val="NoSpacing"/>
              <w:jc w:val="right"/>
              <w:rPr>
                <w:sz w:val="20"/>
                <w:szCs w:val="20"/>
              </w:rPr>
            </w:pPr>
            <w:r w:rsidRPr="00981CD4">
              <w:rPr>
                <w:sz w:val="20"/>
                <w:szCs w:val="20"/>
              </w:rPr>
              <w:t>30.9.2012</w:t>
            </w:r>
          </w:p>
        </w:tc>
        <w:tc>
          <w:tcPr>
            <w:tcW w:w="1350" w:type="dxa"/>
          </w:tcPr>
          <w:p w:rsidR="00015926" w:rsidRPr="00981CD4" w:rsidRDefault="003F0D2C" w:rsidP="00E756CB">
            <w:pPr>
              <w:pStyle w:val="NoSpacing"/>
              <w:jc w:val="right"/>
              <w:rPr>
                <w:sz w:val="20"/>
                <w:szCs w:val="20"/>
              </w:rPr>
            </w:pPr>
            <w:r>
              <w:rPr>
                <w:sz w:val="20"/>
                <w:szCs w:val="20"/>
              </w:rPr>
              <w:t>30.9.2011</w:t>
            </w:r>
          </w:p>
        </w:tc>
      </w:tr>
      <w:tr w:rsidR="00015926" w:rsidRPr="00981CD4" w:rsidTr="006063A5">
        <w:tc>
          <w:tcPr>
            <w:tcW w:w="6376" w:type="dxa"/>
          </w:tcPr>
          <w:p w:rsidR="00015926" w:rsidRPr="00981CD4" w:rsidRDefault="009203CB" w:rsidP="00E756CB">
            <w:pPr>
              <w:pStyle w:val="NoSpacing"/>
              <w:rPr>
                <w:b/>
                <w:sz w:val="20"/>
                <w:szCs w:val="20"/>
              </w:rPr>
            </w:pPr>
            <w:r>
              <w:rPr>
                <w:b/>
                <w:sz w:val="20"/>
                <w:szCs w:val="20"/>
              </w:rPr>
              <w:t>CASH FLOWS FROM OPERATING ACTIVITIES</w:t>
            </w:r>
          </w:p>
        </w:tc>
        <w:tc>
          <w:tcPr>
            <w:tcW w:w="1292" w:type="dxa"/>
          </w:tcPr>
          <w:p w:rsidR="00015926" w:rsidRPr="00981CD4" w:rsidRDefault="004902A0" w:rsidP="00E756CB">
            <w:pPr>
              <w:pStyle w:val="NoSpacing"/>
              <w:jc w:val="right"/>
              <w:rPr>
                <w:sz w:val="20"/>
                <w:szCs w:val="20"/>
              </w:rPr>
            </w:pPr>
            <w:r>
              <w:rPr>
                <w:sz w:val="20"/>
                <w:szCs w:val="20"/>
              </w:rPr>
              <w:t>RM’000</w:t>
            </w:r>
          </w:p>
        </w:tc>
        <w:tc>
          <w:tcPr>
            <w:tcW w:w="1350" w:type="dxa"/>
          </w:tcPr>
          <w:p w:rsidR="00015926" w:rsidRPr="00981CD4" w:rsidRDefault="004902A0" w:rsidP="00E756CB">
            <w:pPr>
              <w:pStyle w:val="NoSpacing"/>
              <w:jc w:val="right"/>
              <w:rPr>
                <w:sz w:val="20"/>
                <w:szCs w:val="20"/>
              </w:rPr>
            </w:pPr>
            <w:r>
              <w:rPr>
                <w:sz w:val="20"/>
                <w:szCs w:val="20"/>
              </w:rPr>
              <w:t>RM’000</w:t>
            </w:r>
          </w:p>
        </w:tc>
      </w:tr>
      <w:tr w:rsidR="00015926" w:rsidRPr="00981CD4" w:rsidTr="006063A5">
        <w:tc>
          <w:tcPr>
            <w:tcW w:w="6376" w:type="dxa"/>
          </w:tcPr>
          <w:p w:rsidR="00015926" w:rsidRPr="00981CD4" w:rsidRDefault="00E756CB" w:rsidP="00E756CB">
            <w:pPr>
              <w:pStyle w:val="NoSpacing"/>
              <w:rPr>
                <w:sz w:val="20"/>
                <w:szCs w:val="20"/>
              </w:rPr>
            </w:pPr>
            <w:r>
              <w:rPr>
                <w:sz w:val="20"/>
                <w:szCs w:val="20"/>
              </w:rPr>
              <w:t>Profit before tax</w:t>
            </w:r>
          </w:p>
        </w:tc>
        <w:tc>
          <w:tcPr>
            <w:tcW w:w="1292" w:type="dxa"/>
          </w:tcPr>
          <w:p w:rsidR="00015926" w:rsidRPr="00981CD4" w:rsidRDefault="001C3AEC" w:rsidP="00E756CB">
            <w:pPr>
              <w:pStyle w:val="NoSpacing"/>
              <w:jc w:val="right"/>
              <w:rPr>
                <w:sz w:val="20"/>
                <w:szCs w:val="20"/>
              </w:rPr>
            </w:pPr>
            <w:r>
              <w:rPr>
                <w:sz w:val="20"/>
                <w:szCs w:val="20"/>
              </w:rPr>
              <w:t>14,195</w:t>
            </w:r>
          </w:p>
        </w:tc>
        <w:tc>
          <w:tcPr>
            <w:tcW w:w="1350" w:type="dxa"/>
          </w:tcPr>
          <w:p w:rsidR="00015926" w:rsidRPr="00981CD4" w:rsidRDefault="00015926" w:rsidP="00E756CB">
            <w:pPr>
              <w:pStyle w:val="NoSpacing"/>
              <w:jc w:val="right"/>
              <w:rPr>
                <w:sz w:val="20"/>
                <w:szCs w:val="20"/>
              </w:rPr>
            </w:pPr>
            <w:r>
              <w:rPr>
                <w:sz w:val="20"/>
                <w:szCs w:val="20"/>
              </w:rPr>
              <w:t>N/A</w:t>
            </w:r>
          </w:p>
        </w:tc>
      </w:tr>
      <w:tr w:rsidR="00E756CB" w:rsidRPr="00981CD4" w:rsidTr="006063A5">
        <w:tc>
          <w:tcPr>
            <w:tcW w:w="6376" w:type="dxa"/>
          </w:tcPr>
          <w:p w:rsidR="00E756CB" w:rsidRDefault="005F7DD1" w:rsidP="00E756CB">
            <w:pPr>
              <w:pStyle w:val="NoSpacing"/>
              <w:rPr>
                <w:sz w:val="20"/>
                <w:szCs w:val="20"/>
              </w:rPr>
            </w:pPr>
            <w:r>
              <w:rPr>
                <w:sz w:val="20"/>
                <w:szCs w:val="20"/>
              </w:rPr>
              <w:t>Adjustments for:-</w:t>
            </w:r>
          </w:p>
        </w:tc>
        <w:tc>
          <w:tcPr>
            <w:tcW w:w="1292" w:type="dxa"/>
          </w:tcPr>
          <w:p w:rsidR="00E756CB" w:rsidRPr="00981CD4" w:rsidRDefault="00E756CB" w:rsidP="00E756CB">
            <w:pPr>
              <w:pStyle w:val="NoSpacing"/>
              <w:jc w:val="right"/>
              <w:rPr>
                <w:sz w:val="20"/>
                <w:szCs w:val="20"/>
              </w:rPr>
            </w:pPr>
          </w:p>
        </w:tc>
        <w:tc>
          <w:tcPr>
            <w:tcW w:w="1350" w:type="dxa"/>
          </w:tcPr>
          <w:p w:rsidR="00E756CB" w:rsidRDefault="00E756CB" w:rsidP="00E756CB">
            <w:pPr>
              <w:pStyle w:val="NoSpacing"/>
              <w:jc w:val="right"/>
              <w:rPr>
                <w:sz w:val="20"/>
                <w:szCs w:val="20"/>
              </w:rPr>
            </w:pPr>
          </w:p>
        </w:tc>
      </w:tr>
      <w:tr w:rsidR="001C3AEC" w:rsidRPr="00981CD4" w:rsidTr="006063A5">
        <w:tc>
          <w:tcPr>
            <w:tcW w:w="6376" w:type="dxa"/>
          </w:tcPr>
          <w:p w:rsidR="001C3AEC" w:rsidRDefault="001C3AEC" w:rsidP="005F7DD1">
            <w:pPr>
              <w:pStyle w:val="NoSpacing"/>
              <w:numPr>
                <w:ilvl w:val="0"/>
                <w:numId w:val="19"/>
              </w:numPr>
              <w:rPr>
                <w:sz w:val="20"/>
                <w:szCs w:val="20"/>
              </w:rPr>
            </w:pPr>
            <w:r>
              <w:rPr>
                <w:sz w:val="20"/>
                <w:szCs w:val="20"/>
              </w:rPr>
              <w:t>Depreciation</w:t>
            </w:r>
          </w:p>
        </w:tc>
        <w:tc>
          <w:tcPr>
            <w:tcW w:w="1292" w:type="dxa"/>
          </w:tcPr>
          <w:p w:rsidR="001C3AEC" w:rsidRPr="00981CD4" w:rsidRDefault="001C3AEC" w:rsidP="00E756CB">
            <w:pPr>
              <w:pStyle w:val="NoSpacing"/>
              <w:jc w:val="right"/>
              <w:rPr>
                <w:sz w:val="20"/>
                <w:szCs w:val="20"/>
              </w:rPr>
            </w:pPr>
            <w:r>
              <w:rPr>
                <w:sz w:val="20"/>
                <w:szCs w:val="20"/>
              </w:rPr>
              <w:t>2,642</w:t>
            </w:r>
          </w:p>
        </w:tc>
        <w:tc>
          <w:tcPr>
            <w:tcW w:w="1350" w:type="dxa"/>
          </w:tcPr>
          <w:p w:rsidR="001C3AEC" w:rsidRDefault="001C3AEC" w:rsidP="001C3AEC">
            <w:pPr>
              <w:jc w:val="right"/>
            </w:pPr>
            <w:r w:rsidRPr="00794912">
              <w:rPr>
                <w:sz w:val="20"/>
                <w:szCs w:val="20"/>
              </w:rPr>
              <w:t>N/A</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Loss on disposal of investment</w:t>
            </w:r>
          </w:p>
        </w:tc>
        <w:tc>
          <w:tcPr>
            <w:tcW w:w="1292" w:type="dxa"/>
          </w:tcPr>
          <w:p w:rsidR="001C3AEC" w:rsidRPr="00981CD4" w:rsidRDefault="001C3AEC" w:rsidP="00E756CB">
            <w:pPr>
              <w:pStyle w:val="NoSpacing"/>
              <w:jc w:val="right"/>
              <w:rPr>
                <w:sz w:val="20"/>
                <w:szCs w:val="20"/>
              </w:rPr>
            </w:pPr>
            <w:r>
              <w:rPr>
                <w:sz w:val="20"/>
                <w:szCs w:val="20"/>
              </w:rPr>
              <w:t>3,099</w:t>
            </w:r>
          </w:p>
        </w:tc>
        <w:tc>
          <w:tcPr>
            <w:tcW w:w="1350" w:type="dxa"/>
          </w:tcPr>
          <w:p w:rsidR="001C3AEC" w:rsidRDefault="001C3AEC" w:rsidP="001C3AEC">
            <w:pPr>
              <w:jc w:val="right"/>
            </w:pPr>
            <w:r w:rsidRPr="00794912">
              <w:rPr>
                <w:sz w:val="20"/>
                <w:szCs w:val="20"/>
              </w:rPr>
              <w:t>N/A</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Interest income</w:t>
            </w:r>
          </w:p>
        </w:tc>
        <w:tc>
          <w:tcPr>
            <w:tcW w:w="1292" w:type="dxa"/>
          </w:tcPr>
          <w:p w:rsidR="001C3AEC" w:rsidRPr="00981CD4" w:rsidRDefault="001C3AEC" w:rsidP="00E756CB">
            <w:pPr>
              <w:pStyle w:val="NoSpacing"/>
              <w:jc w:val="right"/>
              <w:rPr>
                <w:sz w:val="20"/>
                <w:szCs w:val="20"/>
              </w:rPr>
            </w:pPr>
            <w:r>
              <w:rPr>
                <w:sz w:val="20"/>
                <w:szCs w:val="20"/>
              </w:rPr>
              <w:t>(739)</w:t>
            </w:r>
          </w:p>
        </w:tc>
        <w:tc>
          <w:tcPr>
            <w:tcW w:w="1350" w:type="dxa"/>
          </w:tcPr>
          <w:p w:rsidR="001C3AEC" w:rsidRDefault="001C3AEC" w:rsidP="001C3AEC">
            <w:pPr>
              <w:jc w:val="right"/>
            </w:pPr>
            <w:r w:rsidRPr="00794912">
              <w:rPr>
                <w:sz w:val="20"/>
                <w:szCs w:val="20"/>
              </w:rPr>
              <w:t>N/A</w:t>
            </w:r>
          </w:p>
        </w:tc>
      </w:tr>
      <w:tr w:rsidR="001C3AEC" w:rsidRPr="00981CD4" w:rsidTr="006063A5">
        <w:tc>
          <w:tcPr>
            <w:tcW w:w="6376" w:type="dxa"/>
          </w:tcPr>
          <w:p w:rsidR="001C3AEC" w:rsidRDefault="001C3AEC" w:rsidP="001C3AEC">
            <w:pPr>
              <w:pStyle w:val="NoSpacing"/>
              <w:numPr>
                <w:ilvl w:val="0"/>
                <w:numId w:val="19"/>
              </w:numPr>
              <w:rPr>
                <w:sz w:val="20"/>
                <w:szCs w:val="20"/>
              </w:rPr>
            </w:pPr>
            <w:r>
              <w:rPr>
                <w:sz w:val="20"/>
                <w:szCs w:val="20"/>
              </w:rPr>
              <w:t>Other non-cash operating items</w:t>
            </w:r>
          </w:p>
        </w:tc>
        <w:tc>
          <w:tcPr>
            <w:tcW w:w="1292" w:type="dxa"/>
            <w:tcBorders>
              <w:bottom w:val="single" w:sz="4" w:space="0" w:color="auto"/>
            </w:tcBorders>
          </w:tcPr>
          <w:p w:rsidR="001C3AEC" w:rsidRPr="00981CD4" w:rsidRDefault="002E4957" w:rsidP="00E756CB">
            <w:pPr>
              <w:pStyle w:val="NoSpacing"/>
              <w:jc w:val="right"/>
              <w:rPr>
                <w:sz w:val="20"/>
                <w:szCs w:val="20"/>
              </w:rPr>
            </w:pPr>
            <w:r>
              <w:rPr>
                <w:sz w:val="20"/>
                <w:szCs w:val="20"/>
              </w:rPr>
              <w:t>6</w:t>
            </w:r>
            <w:r w:rsidR="004B4D03">
              <w:rPr>
                <w:sz w:val="20"/>
                <w:szCs w:val="20"/>
              </w:rPr>
              <w:t>4</w:t>
            </w:r>
          </w:p>
        </w:tc>
        <w:tc>
          <w:tcPr>
            <w:tcW w:w="1350" w:type="dxa"/>
            <w:tcBorders>
              <w:bottom w:val="single" w:sz="4" w:space="0" w:color="auto"/>
            </w:tcBorders>
          </w:tcPr>
          <w:p w:rsidR="001C3AEC" w:rsidRDefault="001C3AEC" w:rsidP="001C3AEC">
            <w:pPr>
              <w:jc w:val="right"/>
            </w:pPr>
            <w:r w:rsidRPr="00794912">
              <w:rPr>
                <w:sz w:val="20"/>
                <w:szCs w:val="20"/>
              </w:rPr>
              <w:t>N/A</w:t>
            </w:r>
          </w:p>
        </w:tc>
      </w:tr>
      <w:tr w:rsidR="001C3AEC" w:rsidRPr="001C3AEC" w:rsidTr="006063A5">
        <w:tc>
          <w:tcPr>
            <w:tcW w:w="6376" w:type="dxa"/>
          </w:tcPr>
          <w:p w:rsidR="001C3AEC" w:rsidRPr="001C3AEC" w:rsidRDefault="001C3AEC" w:rsidP="00E756CB">
            <w:pPr>
              <w:pStyle w:val="NoSpacing"/>
              <w:rPr>
                <w:b/>
                <w:sz w:val="20"/>
                <w:szCs w:val="20"/>
              </w:rPr>
            </w:pPr>
            <w:r w:rsidRPr="001C3AEC">
              <w:rPr>
                <w:b/>
                <w:sz w:val="20"/>
                <w:szCs w:val="20"/>
              </w:rPr>
              <w:t>Operating profit before working capital changes</w:t>
            </w:r>
          </w:p>
        </w:tc>
        <w:tc>
          <w:tcPr>
            <w:tcW w:w="1292" w:type="dxa"/>
            <w:tcBorders>
              <w:top w:val="single" w:sz="4" w:space="0" w:color="auto"/>
            </w:tcBorders>
          </w:tcPr>
          <w:p w:rsidR="001C3AEC" w:rsidRPr="001C3AEC" w:rsidRDefault="006F15EB" w:rsidP="00E756CB">
            <w:pPr>
              <w:pStyle w:val="NoSpacing"/>
              <w:jc w:val="right"/>
              <w:rPr>
                <w:b/>
                <w:sz w:val="20"/>
                <w:szCs w:val="20"/>
              </w:rPr>
            </w:pPr>
            <w:r>
              <w:rPr>
                <w:b/>
                <w:sz w:val="20"/>
                <w:szCs w:val="20"/>
              </w:rPr>
              <w:t>19,</w:t>
            </w:r>
            <w:r w:rsidR="002E4957">
              <w:rPr>
                <w:b/>
                <w:sz w:val="20"/>
                <w:szCs w:val="20"/>
              </w:rPr>
              <w:t>261</w:t>
            </w:r>
          </w:p>
        </w:tc>
        <w:tc>
          <w:tcPr>
            <w:tcW w:w="1350" w:type="dxa"/>
            <w:tcBorders>
              <w:top w:val="single" w:sz="4" w:space="0" w:color="auto"/>
            </w:tcBorders>
          </w:tcPr>
          <w:p w:rsidR="001C3AEC" w:rsidRPr="001C3AEC" w:rsidRDefault="001C3AEC" w:rsidP="001C3AEC">
            <w:pPr>
              <w:jc w:val="right"/>
              <w:rPr>
                <w:b/>
              </w:rPr>
            </w:pPr>
            <w:r w:rsidRPr="001C3AEC">
              <w:rPr>
                <w:b/>
                <w:sz w:val="20"/>
                <w:szCs w:val="20"/>
              </w:rPr>
              <w:t>N/A</w:t>
            </w:r>
          </w:p>
        </w:tc>
      </w:tr>
      <w:tr w:rsidR="00E756CB" w:rsidRPr="00981CD4" w:rsidTr="006063A5">
        <w:tc>
          <w:tcPr>
            <w:tcW w:w="6376" w:type="dxa"/>
          </w:tcPr>
          <w:p w:rsidR="00E756CB" w:rsidRDefault="00E756CB" w:rsidP="00E756CB">
            <w:pPr>
              <w:pStyle w:val="NoSpacing"/>
              <w:rPr>
                <w:sz w:val="20"/>
                <w:szCs w:val="20"/>
              </w:rPr>
            </w:pPr>
          </w:p>
        </w:tc>
        <w:tc>
          <w:tcPr>
            <w:tcW w:w="1292" w:type="dxa"/>
          </w:tcPr>
          <w:p w:rsidR="00E756CB" w:rsidRPr="00981CD4" w:rsidRDefault="00E756CB" w:rsidP="00E756CB">
            <w:pPr>
              <w:pStyle w:val="NoSpacing"/>
              <w:jc w:val="right"/>
              <w:rPr>
                <w:sz w:val="20"/>
                <w:szCs w:val="20"/>
              </w:rPr>
            </w:pPr>
          </w:p>
        </w:tc>
        <w:tc>
          <w:tcPr>
            <w:tcW w:w="1350" w:type="dxa"/>
          </w:tcPr>
          <w:p w:rsidR="00E756CB" w:rsidRDefault="00E756CB" w:rsidP="00E756CB">
            <w:pPr>
              <w:pStyle w:val="NoSpacing"/>
              <w:jc w:val="right"/>
              <w:rPr>
                <w:sz w:val="20"/>
                <w:szCs w:val="20"/>
              </w:rPr>
            </w:pPr>
          </w:p>
        </w:tc>
      </w:tr>
      <w:tr w:rsidR="00E756CB" w:rsidRPr="00981CD4" w:rsidTr="006063A5">
        <w:tc>
          <w:tcPr>
            <w:tcW w:w="6376" w:type="dxa"/>
          </w:tcPr>
          <w:p w:rsidR="00E756CB" w:rsidRDefault="009203CB" w:rsidP="00E756CB">
            <w:pPr>
              <w:pStyle w:val="NoSpacing"/>
              <w:rPr>
                <w:sz w:val="20"/>
                <w:szCs w:val="20"/>
              </w:rPr>
            </w:pPr>
            <w:r>
              <w:rPr>
                <w:sz w:val="20"/>
                <w:szCs w:val="20"/>
              </w:rPr>
              <w:t>Changes in inventories</w:t>
            </w:r>
          </w:p>
        </w:tc>
        <w:tc>
          <w:tcPr>
            <w:tcW w:w="1292" w:type="dxa"/>
          </w:tcPr>
          <w:p w:rsidR="00E756CB" w:rsidRPr="00981CD4" w:rsidRDefault="009203CB" w:rsidP="00E756CB">
            <w:pPr>
              <w:pStyle w:val="NoSpacing"/>
              <w:jc w:val="right"/>
              <w:rPr>
                <w:sz w:val="20"/>
                <w:szCs w:val="20"/>
              </w:rPr>
            </w:pPr>
            <w:r>
              <w:rPr>
                <w:sz w:val="20"/>
                <w:szCs w:val="20"/>
              </w:rPr>
              <w:t>(367)</w:t>
            </w:r>
          </w:p>
        </w:tc>
        <w:tc>
          <w:tcPr>
            <w:tcW w:w="1350" w:type="dxa"/>
          </w:tcPr>
          <w:p w:rsidR="00E756CB" w:rsidRDefault="009203CB" w:rsidP="00E756CB">
            <w:pPr>
              <w:pStyle w:val="NoSpacing"/>
              <w:jc w:val="right"/>
              <w:rPr>
                <w:sz w:val="20"/>
                <w:szCs w:val="20"/>
              </w:rPr>
            </w:pPr>
            <w:r>
              <w:rPr>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Changes in trade and other receivables</w:t>
            </w:r>
          </w:p>
        </w:tc>
        <w:tc>
          <w:tcPr>
            <w:tcW w:w="1292" w:type="dxa"/>
          </w:tcPr>
          <w:p w:rsidR="009203CB" w:rsidRDefault="009203CB" w:rsidP="00E756CB">
            <w:pPr>
              <w:pStyle w:val="NoSpacing"/>
              <w:jc w:val="right"/>
              <w:rPr>
                <w:sz w:val="20"/>
                <w:szCs w:val="20"/>
              </w:rPr>
            </w:pPr>
            <w:r>
              <w:rPr>
                <w:sz w:val="20"/>
                <w:szCs w:val="20"/>
              </w:rPr>
              <w:t>8,35</w:t>
            </w:r>
            <w:r w:rsidR="00171367">
              <w:rPr>
                <w:sz w:val="20"/>
                <w:szCs w:val="20"/>
              </w:rPr>
              <w:t>1</w:t>
            </w:r>
          </w:p>
        </w:tc>
        <w:tc>
          <w:tcPr>
            <w:tcW w:w="1350" w:type="dxa"/>
          </w:tcPr>
          <w:p w:rsidR="009203CB" w:rsidRDefault="009203CB" w:rsidP="00E756CB">
            <w:pPr>
              <w:pStyle w:val="NoSpacing"/>
              <w:jc w:val="right"/>
              <w:rPr>
                <w:sz w:val="20"/>
                <w:szCs w:val="20"/>
              </w:rPr>
            </w:pPr>
            <w:r>
              <w:rPr>
                <w:sz w:val="20"/>
                <w:szCs w:val="20"/>
              </w:rPr>
              <w:t>N/A</w:t>
            </w:r>
          </w:p>
        </w:tc>
      </w:tr>
      <w:tr w:rsidR="00E756CB" w:rsidRPr="00981CD4" w:rsidTr="006063A5">
        <w:tc>
          <w:tcPr>
            <w:tcW w:w="6376" w:type="dxa"/>
          </w:tcPr>
          <w:p w:rsidR="00E756CB" w:rsidRDefault="009203CB" w:rsidP="00E756CB">
            <w:pPr>
              <w:pStyle w:val="NoSpacing"/>
              <w:rPr>
                <w:sz w:val="20"/>
                <w:szCs w:val="20"/>
              </w:rPr>
            </w:pPr>
            <w:r>
              <w:rPr>
                <w:sz w:val="20"/>
                <w:szCs w:val="20"/>
              </w:rPr>
              <w:t>Changes in trade and other payables</w:t>
            </w:r>
          </w:p>
        </w:tc>
        <w:tc>
          <w:tcPr>
            <w:tcW w:w="1292" w:type="dxa"/>
          </w:tcPr>
          <w:p w:rsidR="00E756CB" w:rsidRPr="00981CD4" w:rsidRDefault="009203CB" w:rsidP="00E756CB">
            <w:pPr>
              <w:pStyle w:val="NoSpacing"/>
              <w:jc w:val="right"/>
              <w:rPr>
                <w:sz w:val="20"/>
                <w:szCs w:val="20"/>
              </w:rPr>
            </w:pPr>
            <w:r>
              <w:rPr>
                <w:sz w:val="20"/>
                <w:szCs w:val="20"/>
              </w:rPr>
              <w:t>(636)</w:t>
            </w:r>
          </w:p>
        </w:tc>
        <w:tc>
          <w:tcPr>
            <w:tcW w:w="1350" w:type="dxa"/>
          </w:tcPr>
          <w:p w:rsidR="00E756CB" w:rsidRDefault="009203CB" w:rsidP="00E756CB">
            <w:pPr>
              <w:pStyle w:val="NoSpacing"/>
              <w:jc w:val="right"/>
              <w:rPr>
                <w:sz w:val="20"/>
                <w:szCs w:val="20"/>
              </w:rPr>
            </w:pPr>
            <w:r>
              <w:rPr>
                <w:sz w:val="20"/>
                <w:szCs w:val="20"/>
              </w:rPr>
              <w:t>N/A</w:t>
            </w:r>
          </w:p>
        </w:tc>
      </w:tr>
      <w:tr w:rsidR="00015926" w:rsidRPr="00981CD4" w:rsidTr="006063A5">
        <w:tc>
          <w:tcPr>
            <w:tcW w:w="6376" w:type="dxa"/>
          </w:tcPr>
          <w:p w:rsidR="00015926" w:rsidRPr="00981CD4" w:rsidRDefault="009203CB" w:rsidP="00E756CB">
            <w:pPr>
              <w:pStyle w:val="NoSpacing"/>
              <w:rPr>
                <w:sz w:val="20"/>
                <w:szCs w:val="20"/>
              </w:rPr>
            </w:pPr>
            <w:r>
              <w:rPr>
                <w:sz w:val="20"/>
                <w:szCs w:val="20"/>
              </w:rPr>
              <w:t>Changes in amounts due from/(to) customers for contract</w:t>
            </w:r>
          </w:p>
        </w:tc>
        <w:tc>
          <w:tcPr>
            <w:tcW w:w="1292" w:type="dxa"/>
            <w:tcBorders>
              <w:bottom w:val="single" w:sz="4" w:space="0" w:color="auto"/>
            </w:tcBorders>
          </w:tcPr>
          <w:p w:rsidR="00015926" w:rsidRPr="00981CD4" w:rsidRDefault="009203CB" w:rsidP="00E756CB">
            <w:pPr>
              <w:pStyle w:val="NoSpacing"/>
              <w:jc w:val="right"/>
              <w:rPr>
                <w:sz w:val="20"/>
                <w:szCs w:val="20"/>
              </w:rPr>
            </w:pPr>
            <w:r>
              <w:rPr>
                <w:sz w:val="20"/>
                <w:szCs w:val="20"/>
              </w:rPr>
              <w:t>(7,571)</w:t>
            </w:r>
          </w:p>
        </w:tc>
        <w:tc>
          <w:tcPr>
            <w:tcW w:w="1350" w:type="dxa"/>
            <w:tcBorders>
              <w:bottom w:val="single" w:sz="4" w:space="0" w:color="auto"/>
            </w:tcBorders>
          </w:tcPr>
          <w:p w:rsidR="00015926" w:rsidRPr="00981CD4" w:rsidRDefault="00015926" w:rsidP="00E756CB">
            <w:pPr>
              <w:pStyle w:val="NoSpacing"/>
              <w:jc w:val="right"/>
              <w:rPr>
                <w:sz w:val="20"/>
                <w:szCs w:val="20"/>
              </w:rPr>
            </w:pPr>
            <w:r>
              <w:rPr>
                <w:sz w:val="20"/>
                <w:szCs w:val="20"/>
              </w:rPr>
              <w:t>N/A</w:t>
            </w:r>
          </w:p>
        </w:tc>
      </w:tr>
      <w:tr w:rsidR="009203CB" w:rsidRPr="009203CB" w:rsidTr="006063A5">
        <w:tc>
          <w:tcPr>
            <w:tcW w:w="6376" w:type="dxa"/>
          </w:tcPr>
          <w:p w:rsidR="009203CB" w:rsidRPr="009203CB" w:rsidRDefault="009203CB" w:rsidP="00E756CB">
            <w:pPr>
              <w:pStyle w:val="NoSpacing"/>
              <w:rPr>
                <w:b/>
                <w:sz w:val="20"/>
                <w:szCs w:val="20"/>
              </w:rPr>
            </w:pPr>
            <w:r w:rsidRPr="009203CB">
              <w:rPr>
                <w:b/>
                <w:sz w:val="20"/>
                <w:szCs w:val="20"/>
              </w:rPr>
              <w:t>Cash generated from operations</w:t>
            </w:r>
          </w:p>
        </w:tc>
        <w:tc>
          <w:tcPr>
            <w:tcW w:w="1292" w:type="dxa"/>
            <w:tcBorders>
              <w:top w:val="single" w:sz="4" w:space="0" w:color="auto"/>
            </w:tcBorders>
          </w:tcPr>
          <w:p w:rsidR="009203CB" w:rsidRPr="009203CB" w:rsidRDefault="006F15EB" w:rsidP="00E756CB">
            <w:pPr>
              <w:pStyle w:val="NoSpacing"/>
              <w:jc w:val="right"/>
              <w:rPr>
                <w:b/>
                <w:sz w:val="20"/>
                <w:szCs w:val="20"/>
              </w:rPr>
            </w:pPr>
            <w:r>
              <w:rPr>
                <w:b/>
                <w:sz w:val="20"/>
                <w:szCs w:val="20"/>
              </w:rPr>
              <w:t>1</w:t>
            </w:r>
            <w:r w:rsidR="002E4957">
              <w:rPr>
                <w:b/>
                <w:sz w:val="20"/>
                <w:szCs w:val="20"/>
              </w:rPr>
              <w:t>9,0</w:t>
            </w:r>
            <w:r w:rsidR="00171367">
              <w:rPr>
                <w:b/>
                <w:sz w:val="20"/>
                <w:szCs w:val="20"/>
              </w:rPr>
              <w:t>38</w:t>
            </w:r>
          </w:p>
        </w:tc>
        <w:tc>
          <w:tcPr>
            <w:tcW w:w="1350" w:type="dxa"/>
            <w:tcBorders>
              <w:top w:val="single" w:sz="4" w:space="0" w:color="auto"/>
            </w:tcBorders>
          </w:tcPr>
          <w:p w:rsidR="009203CB" w:rsidRPr="009203CB" w:rsidRDefault="009203CB" w:rsidP="00E756CB">
            <w:pPr>
              <w:pStyle w:val="NoSpacing"/>
              <w:jc w:val="right"/>
              <w:rPr>
                <w:b/>
                <w:sz w:val="20"/>
                <w:szCs w:val="20"/>
              </w:rPr>
            </w:pPr>
            <w:r>
              <w:rPr>
                <w:b/>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Interest received</w:t>
            </w:r>
          </w:p>
        </w:tc>
        <w:tc>
          <w:tcPr>
            <w:tcW w:w="1292" w:type="dxa"/>
          </w:tcPr>
          <w:p w:rsidR="009203CB" w:rsidRDefault="009203CB" w:rsidP="00E756CB">
            <w:pPr>
              <w:pStyle w:val="NoSpacing"/>
              <w:jc w:val="right"/>
              <w:rPr>
                <w:sz w:val="20"/>
                <w:szCs w:val="20"/>
              </w:rPr>
            </w:pPr>
            <w:r>
              <w:rPr>
                <w:sz w:val="20"/>
                <w:szCs w:val="20"/>
              </w:rPr>
              <w:t>739</w:t>
            </w:r>
          </w:p>
        </w:tc>
        <w:tc>
          <w:tcPr>
            <w:tcW w:w="1350" w:type="dxa"/>
          </w:tcPr>
          <w:p w:rsidR="009203CB" w:rsidRDefault="009203CB" w:rsidP="00E756CB">
            <w:pPr>
              <w:pStyle w:val="NoSpacing"/>
              <w:jc w:val="right"/>
              <w:rPr>
                <w:sz w:val="20"/>
                <w:szCs w:val="20"/>
              </w:rPr>
            </w:pPr>
            <w:r>
              <w:rPr>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Interest paid</w:t>
            </w:r>
          </w:p>
        </w:tc>
        <w:tc>
          <w:tcPr>
            <w:tcW w:w="1292" w:type="dxa"/>
          </w:tcPr>
          <w:p w:rsidR="009203CB" w:rsidRDefault="009203CB" w:rsidP="00E756CB">
            <w:pPr>
              <w:pStyle w:val="NoSpacing"/>
              <w:jc w:val="right"/>
              <w:rPr>
                <w:sz w:val="20"/>
                <w:szCs w:val="20"/>
              </w:rPr>
            </w:pPr>
            <w:r>
              <w:rPr>
                <w:sz w:val="20"/>
                <w:szCs w:val="20"/>
              </w:rPr>
              <w:t>(67)</w:t>
            </w:r>
          </w:p>
        </w:tc>
        <w:tc>
          <w:tcPr>
            <w:tcW w:w="1350" w:type="dxa"/>
          </w:tcPr>
          <w:p w:rsidR="009203CB" w:rsidRDefault="009203CB" w:rsidP="00E756CB">
            <w:pPr>
              <w:pStyle w:val="NoSpacing"/>
              <w:jc w:val="right"/>
              <w:rPr>
                <w:sz w:val="20"/>
                <w:szCs w:val="20"/>
              </w:rPr>
            </w:pPr>
            <w:r>
              <w:rPr>
                <w:sz w:val="20"/>
                <w:szCs w:val="20"/>
              </w:rPr>
              <w:t>N/A</w:t>
            </w:r>
          </w:p>
        </w:tc>
      </w:tr>
      <w:tr w:rsidR="009203CB" w:rsidRPr="00981CD4" w:rsidTr="006063A5">
        <w:tc>
          <w:tcPr>
            <w:tcW w:w="6376" w:type="dxa"/>
          </w:tcPr>
          <w:p w:rsidR="009203CB" w:rsidRDefault="009203CB" w:rsidP="00E756CB">
            <w:pPr>
              <w:pStyle w:val="NoSpacing"/>
              <w:rPr>
                <w:sz w:val="20"/>
                <w:szCs w:val="20"/>
              </w:rPr>
            </w:pPr>
            <w:r>
              <w:rPr>
                <w:sz w:val="20"/>
                <w:szCs w:val="20"/>
              </w:rPr>
              <w:t>Tax paid</w:t>
            </w:r>
          </w:p>
        </w:tc>
        <w:tc>
          <w:tcPr>
            <w:tcW w:w="1292" w:type="dxa"/>
            <w:tcBorders>
              <w:bottom w:val="single" w:sz="4" w:space="0" w:color="auto"/>
            </w:tcBorders>
          </w:tcPr>
          <w:p w:rsidR="009203CB" w:rsidRDefault="009203CB" w:rsidP="00E756CB">
            <w:pPr>
              <w:pStyle w:val="NoSpacing"/>
              <w:jc w:val="right"/>
              <w:rPr>
                <w:sz w:val="20"/>
                <w:szCs w:val="20"/>
              </w:rPr>
            </w:pPr>
            <w:r>
              <w:rPr>
                <w:sz w:val="20"/>
                <w:szCs w:val="20"/>
              </w:rPr>
              <w:t>(3,390)</w:t>
            </w:r>
          </w:p>
        </w:tc>
        <w:tc>
          <w:tcPr>
            <w:tcW w:w="1350" w:type="dxa"/>
            <w:tcBorders>
              <w:bottom w:val="single" w:sz="4" w:space="0" w:color="auto"/>
            </w:tcBorders>
          </w:tcPr>
          <w:p w:rsidR="009203CB" w:rsidRDefault="009203CB" w:rsidP="00E756CB">
            <w:pPr>
              <w:pStyle w:val="NoSpacing"/>
              <w:jc w:val="right"/>
              <w:rPr>
                <w:sz w:val="20"/>
                <w:szCs w:val="20"/>
              </w:rPr>
            </w:pPr>
            <w:r>
              <w:rPr>
                <w:sz w:val="20"/>
                <w:szCs w:val="20"/>
              </w:rPr>
              <w:t>N/A</w:t>
            </w:r>
          </w:p>
        </w:tc>
      </w:tr>
      <w:tr w:rsidR="009203CB" w:rsidRPr="009203CB" w:rsidTr="006063A5">
        <w:tc>
          <w:tcPr>
            <w:tcW w:w="6376" w:type="dxa"/>
          </w:tcPr>
          <w:p w:rsidR="009203CB" w:rsidRPr="009203CB" w:rsidRDefault="009203CB" w:rsidP="00E756CB">
            <w:pPr>
              <w:pStyle w:val="NoSpacing"/>
              <w:rPr>
                <w:b/>
                <w:sz w:val="20"/>
                <w:szCs w:val="20"/>
              </w:rPr>
            </w:pPr>
            <w:r w:rsidRPr="009203CB">
              <w:rPr>
                <w:b/>
                <w:sz w:val="20"/>
                <w:szCs w:val="20"/>
              </w:rPr>
              <w:t>Net cash generated from operating activities</w:t>
            </w:r>
          </w:p>
        </w:tc>
        <w:tc>
          <w:tcPr>
            <w:tcW w:w="1292" w:type="dxa"/>
            <w:tcBorders>
              <w:top w:val="single" w:sz="4" w:space="0" w:color="auto"/>
              <w:bottom w:val="single" w:sz="4" w:space="0" w:color="auto"/>
            </w:tcBorders>
          </w:tcPr>
          <w:p w:rsidR="009203CB" w:rsidRPr="009203CB" w:rsidRDefault="006F15EB" w:rsidP="00E756CB">
            <w:pPr>
              <w:pStyle w:val="NoSpacing"/>
              <w:jc w:val="right"/>
              <w:rPr>
                <w:b/>
                <w:sz w:val="20"/>
                <w:szCs w:val="20"/>
              </w:rPr>
            </w:pPr>
            <w:r>
              <w:rPr>
                <w:b/>
                <w:sz w:val="20"/>
                <w:szCs w:val="20"/>
              </w:rPr>
              <w:t>16,</w:t>
            </w:r>
            <w:r w:rsidR="00171367">
              <w:rPr>
                <w:b/>
                <w:sz w:val="20"/>
                <w:szCs w:val="20"/>
              </w:rPr>
              <w:t>320</w:t>
            </w:r>
          </w:p>
        </w:tc>
        <w:tc>
          <w:tcPr>
            <w:tcW w:w="1350" w:type="dxa"/>
            <w:tcBorders>
              <w:top w:val="single" w:sz="4" w:space="0" w:color="auto"/>
              <w:bottom w:val="single" w:sz="4" w:space="0" w:color="auto"/>
            </w:tcBorders>
          </w:tcPr>
          <w:p w:rsidR="009203CB" w:rsidRPr="009203CB" w:rsidRDefault="009203CB" w:rsidP="00E756CB">
            <w:pPr>
              <w:pStyle w:val="NoSpacing"/>
              <w:jc w:val="right"/>
              <w:rPr>
                <w:b/>
                <w:sz w:val="20"/>
                <w:szCs w:val="20"/>
              </w:rPr>
            </w:pPr>
            <w:r w:rsidRPr="009203CB">
              <w:rPr>
                <w:b/>
                <w:sz w:val="20"/>
                <w:szCs w:val="20"/>
              </w:rPr>
              <w:t>N/A</w:t>
            </w:r>
          </w:p>
        </w:tc>
      </w:tr>
      <w:tr w:rsidR="009203CB" w:rsidRPr="00981CD4" w:rsidTr="006063A5">
        <w:tc>
          <w:tcPr>
            <w:tcW w:w="6376" w:type="dxa"/>
          </w:tcPr>
          <w:p w:rsidR="009203CB" w:rsidRDefault="009203CB" w:rsidP="00E756CB">
            <w:pPr>
              <w:pStyle w:val="NoSpacing"/>
              <w:rPr>
                <w:sz w:val="20"/>
                <w:szCs w:val="20"/>
              </w:rPr>
            </w:pPr>
          </w:p>
        </w:tc>
        <w:tc>
          <w:tcPr>
            <w:tcW w:w="1292" w:type="dxa"/>
            <w:tcBorders>
              <w:top w:val="single" w:sz="4" w:space="0" w:color="auto"/>
            </w:tcBorders>
          </w:tcPr>
          <w:p w:rsidR="009203CB" w:rsidRDefault="009203CB" w:rsidP="00E756CB">
            <w:pPr>
              <w:pStyle w:val="NoSpacing"/>
              <w:jc w:val="right"/>
              <w:rPr>
                <w:sz w:val="20"/>
                <w:szCs w:val="20"/>
              </w:rPr>
            </w:pPr>
          </w:p>
        </w:tc>
        <w:tc>
          <w:tcPr>
            <w:tcW w:w="1350" w:type="dxa"/>
            <w:tcBorders>
              <w:top w:val="single" w:sz="4" w:space="0" w:color="auto"/>
            </w:tcBorders>
          </w:tcPr>
          <w:p w:rsidR="009203CB" w:rsidRDefault="009203CB" w:rsidP="00E756CB">
            <w:pPr>
              <w:pStyle w:val="NoSpacing"/>
              <w:jc w:val="right"/>
              <w:rPr>
                <w:sz w:val="20"/>
                <w:szCs w:val="20"/>
              </w:rPr>
            </w:pPr>
          </w:p>
        </w:tc>
      </w:tr>
      <w:tr w:rsidR="009203CB" w:rsidRPr="00981CD4" w:rsidTr="006063A5">
        <w:tc>
          <w:tcPr>
            <w:tcW w:w="6376" w:type="dxa"/>
          </w:tcPr>
          <w:p w:rsidR="009203CB" w:rsidRPr="00D04647" w:rsidRDefault="00D04647" w:rsidP="00E756CB">
            <w:pPr>
              <w:pStyle w:val="NoSpacing"/>
              <w:rPr>
                <w:b/>
                <w:sz w:val="20"/>
                <w:szCs w:val="20"/>
              </w:rPr>
            </w:pPr>
            <w:r w:rsidRPr="00D04647">
              <w:rPr>
                <w:b/>
                <w:sz w:val="20"/>
                <w:szCs w:val="20"/>
              </w:rPr>
              <w:t>CASH FLOWS FROM INVESTING ACTIVITIES</w:t>
            </w:r>
          </w:p>
        </w:tc>
        <w:tc>
          <w:tcPr>
            <w:tcW w:w="1292" w:type="dxa"/>
          </w:tcPr>
          <w:p w:rsidR="009203CB" w:rsidRDefault="009203CB" w:rsidP="00E756CB">
            <w:pPr>
              <w:pStyle w:val="NoSpacing"/>
              <w:jc w:val="right"/>
              <w:rPr>
                <w:sz w:val="20"/>
                <w:szCs w:val="20"/>
              </w:rPr>
            </w:pPr>
          </w:p>
        </w:tc>
        <w:tc>
          <w:tcPr>
            <w:tcW w:w="1350" w:type="dxa"/>
          </w:tcPr>
          <w:p w:rsidR="009203CB" w:rsidRDefault="009203CB" w:rsidP="00E756CB">
            <w:pPr>
              <w:pStyle w:val="NoSpacing"/>
              <w:jc w:val="right"/>
              <w:rPr>
                <w:sz w:val="20"/>
                <w:szCs w:val="20"/>
              </w:rPr>
            </w:pPr>
          </w:p>
        </w:tc>
      </w:tr>
      <w:tr w:rsidR="009203CB" w:rsidRPr="00981CD4" w:rsidTr="006063A5">
        <w:tc>
          <w:tcPr>
            <w:tcW w:w="6376" w:type="dxa"/>
          </w:tcPr>
          <w:p w:rsidR="009203CB" w:rsidRDefault="006F15EB" w:rsidP="00E756CB">
            <w:pPr>
              <w:pStyle w:val="NoSpacing"/>
              <w:rPr>
                <w:sz w:val="20"/>
                <w:szCs w:val="20"/>
              </w:rPr>
            </w:pPr>
            <w:r>
              <w:rPr>
                <w:sz w:val="20"/>
                <w:szCs w:val="20"/>
              </w:rPr>
              <w:t>Purchase of property, plant and equipment</w:t>
            </w:r>
          </w:p>
        </w:tc>
        <w:tc>
          <w:tcPr>
            <w:tcW w:w="1292" w:type="dxa"/>
          </w:tcPr>
          <w:p w:rsidR="009203CB" w:rsidRDefault="006F15EB" w:rsidP="00E756CB">
            <w:pPr>
              <w:pStyle w:val="NoSpacing"/>
              <w:jc w:val="right"/>
              <w:rPr>
                <w:sz w:val="20"/>
                <w:szCs w:val="20"/>
              </w:rPr>
            </w:pPr>
            <w:r>
              <w:rPr>
                <w:sz w:val="20"/>
                <w:szCs w:val="20"/>
              </w:rPr>
              <w:t>(2,384)</w:t>
            </w:r>
          </w:p>
        </w:tc>
        <w:tc>
          <w:tcPr>
            <w:tcW w:w="1350" w:type="dxa"/>
          </w:tcPr>
          <w:p w:rsidR="009203CB" w:rsidRDefault="006F15EB" w:rsidP="00E756CB">
            <w:pPr>
              <w:pStyle w:val="NoSpacing"/>
              <w:jc w:val="right"/>
              <w:rPr>
                <w:sz w:val="20"/>
                <w:szCs w:val="20"/>
              </w:rPr>
            </w:pPr>
            <w:r>
              <w:rPr>
                <w:sz w:val="20"/>
                <w:szCs w:val="20"/>
              </w:rPr>
              <w:t>N/A</w:t>
            </w:r>
          </w:p>
        </w:tc>
      </w:tr>
      <w:tr w:rsidR="00D04647" w:rsidRPr="00981CD4" w:rsidTr="006063A5">
        <w:tc>
          <w:tcPr>
            <w:tcW w:w="6376" w:type="dxa"/>
          </w:tcPr>
          <w:p w:rsidR="00D04647" w:rsidRDefault="006F15EB" w:rsidP="00E756CB">
            <w:pPr>
              <w:pStyle w:val="NoSpacing"/>
              <w:rPr>
                <w:sz w:val="20"/>
                <w:szCs w:val="20"/>
              </w:rPr>
            </w:pPr>
            <w:r>
              <w:rPr>
                <w:sz w:val="20"/>
                <w:szCs w:val="20"/>
              </w:rPr>
              <w:t>Proceeds from disposal of property, plant and equipment</w:t>
            </w:r>
          </w:p>
        </w:tc>
        <w:tc>
          <w:tcPr>
            <w:tcW w:w="1292" w:type="dxa"/>
            <w:tcBorders>
              <w:bottom w:val="single" w:sz="4" w:space="0" w:color="auto"/>
            </w:tcBorders>
          </w:tcPr>
          <w:p w:rsidR="00D04647" w:rsidRDefault="006F15EB" w:rsidP="00E756CB">
            <w:pPr>
              <w:pStyle w:val="NoSpacing"/>
              <w:jc w:val="right"/>
              <w:rPr>
                <w:sz w:val="20"/>
                <w:szCs w:val="20"/>
              </w:rPr>
            </w:pPr>
            <w:r>
              <w:rPr>
                <w:sz w:val="20"/>
                <w:szCs w:val="20"/>
              </w:rPr>
              <w:t>346</w:t>
            </w:r>
          </w:p>
        </w:tc>
        <w:tc>
          <w:tcPr>
            <w:tcW w:w="1350" w:type="dxa"/>
            <w:tcBorders>
              <w:bottom w:val="single" w:sz="4" w:space="0" w:color="auto"/>
            </w:tcBorders>
          </w:tcPr>
          <w:p w:rsidR="00D04647" w:rsidRDefault="006F15EB" w:rsidP="006F15EB">
            <w:pPr>
              <w:pStyle w:val="NoSpacing"/>
              <w:jc w:val="right"/>
              <w:rPr>
                <w:sz w:val="20"/>
                <w:szCs w:val="20"/>
              </w:rPr>
            </w:pPr>
            <w:r>
              <w:rPr>
                <w:sz w:val="20"/>
                <w:szCs w:val="20"/>
              </w:rPr>
              <w:t>N/A</w:t>
            </w:r>
          </w:p>
        </w:tc>
      </w:tr>
      <w:tr w:rsidR="00D04647" w:rsidRPr="006F15EB" w:rsidTr="006063A5">
        <w:tc>
          <w:tcPr>
            <w:tcW w:w="6376" w:type="dxa"/>
          </w:tcPr>
          <w:p w:rsidR="00D04647" w:rsidRPr="006F15EB" w:rsidRDefault="006F15EB" w:rsidP="00E756CB">
            <w:pPr>
              <w:pStyle w:val="NoSpacing"/>
              <w:rPr>
                <w:b/>
                <w:sz w:val="20"/>
                <w:szCs w:val="20"/>
              </w:rPr>
            </w:pPr>
            <w:r w:rsidRPr="006F15EB">
              <w:rPr>
                <w:b/>
                <w:sz w:val="20"/>
                <w:szCs w:val="20"/>
              </w:rPr>
              <w:t>Net cash used in investing activities</w:t>
            </w:r>
          </w:p>
        </w:tc>
        <w:tc>
          <w:tcPr>
            <w:tcW w:w="1292" w:type="dxa"/>
            <w:tcBorders>
              <w:top w:val="single" w:sz="4" w:space="0" w:color="auto"/>
              <w:bottom w:val="single" w:sz="4" w:space="0" w:color="auto"/>
            </w:tcBorders>
          </w:tcPr>
          <w:p w:rsidR="00D04647" w:rsidRPr="006F15EB" w:rsidRDefault="006F15EB" w:rsidP="00E756CB">
            <w:pPr>
              <w:pStyle w:val="NoSpacing"/>
              <w:jc w:val="right"/>
              <w:rPr>
                <w:b/>
                <w:sz w:val="20"/>
                <w:szCs w:val="20"/>
              </w:rPr>
            </w:pPr>
            <w:r>
              <w:rPr>
                <w:b/>
                <w:sz w:val="20"/>
                <w:szCs w:val="20"/>
              </w:rPr>
              <w:t>(2,038)</w:t>
            </w:r>
          </w:p>
        </w:tc>
        <w:tc>
          <w:tcPr>
            <w:tcW w:w="1350" w:type="dxa"/>
            <w:tcBorders>
              <w:top w:val="single" w:sz="4" w:space="0" w:color="auto"/>
              <w:bottom w:val="single" w:sz="4" w:space="0" w:color="auto"/>
            </w:tcBorders>
          </w:tcPr>
          <w:p w:rsidR="00D04647" w:rsidRPr="006F15EB" w:rsidRDefault="006F15EB" w:rsidP="006F15EB">
            <w:pPr>
              <w:pStyle w:val="NoSpacing"/>
              <w:jc w:val="right"/>
              <w:rPr>
                <w:b/>
                <w:sz w:val="20"/>
                <w:szCs w:val="20"/>
              </w:rPr>
            </w:pPr>
            <w:r>
              <w:rPr>
                <w:b/>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467F77" w:rsidRDefault="00467F77" w:rsidP="00E756CB">
            <w:pPr>
              <w:pStyle w:val="NoSpacing"/>
              <w:rPr>
                <w:b/>
                <w:sz w:val="20"/>
                <w:szCs w:val="20"/>
              </w:rPr>
            </w:pPr>
            <w:r w:rsidRPr="00467F77">
              <w:rPr>
                <w:b/>
                <w:sz w:val="20"/>
                <w:szCs w:val="20"/>
              </w:rPr>
              <w:t>CASH FLOWS FROM FINANCING ACTIVITIES</w:t>
            </w:r>
          </w:p>
        </w:tc>
        <w:tc>
          <w:tcPr>
            <w:tcW w:w="1292" w:type="dxa"/>
          </w:tcPr>
          <w:p w:rsidR="00D04647" w:rsidRDefault="00D04647" w:rsidP="00E756CB">
            <w:pPr>
              <w:pStyle w:val="NoSpacing"/>
              <w:jc w:val="right"/>
              <w:rPr>
                <w:sz w:val="20"/>
                <w:szCs w:val="20"/>
              </w:rPr>
            </w:pPr>
          </w:p>
        </w:tc>
        <w:tc>
          <w:tcPr>
            <w:tcW w:w="1350" w:type="dxa"/>
          </w:tcPr>
          <w:p w:rsidR="00D04647" w:rsidRDefault="00D04647" w:rsidP="00D04647">
            <w:pPr>
              <w:pStyle w:val="NoSpacing"/>
              <w:rPr>
                <w:sz w:val="20"/>
                <w:szCs w:val="20"/>
              </w:rPr>
            </w:pPr>
          </w:p>
        </w:tc>
      </w:tr>
      <w:tr w:rsidR="00D04647" w:rsidRPr="00981CD4" w:rsidTr="006063A5">
        <w:tc>
          <w:tcPr>
            <w:tcW w:w="6376" w:type="dxa"/>
          </w:tcPr>
          <w:p w:rsidR="00D04647" w:rsidRDefault="00467F77" w:rsidP="00E756CB">
            <w:pPr>
              <w:pStyle w:val="NoSpacing"/>
              <w:rPr>
                <w:sz w:val="20"/>
                <w:szCs w:val="20"/>
              </w:rPr>
            </w:pPr>
            <w:r>
              <w:rPr>
                <w:sz w:val="20"/>
                <w:szCs w:val="20"/>
              </w:rPr>
              <w:t>Repayment of bank borrowings</w:t>
            </w:r>
          </w:p>
        </w:tc>
        <w:tc>
          <w:tcPr>
            <w:tcW w:w="1292" w:type="dxa"/>
          </w:tcPr>
          <w:p w:rsidR="00D04647" w:rsidRDefault="00467F77" w:rsidP="00E756CB">
            <w:pPr>
              <w:pStyle w:val="NoSpacing"/>
              <w:jc w:val="right"/>
              <w:rPr>
                <w:sz w:val="20"/>
                <w:szCs w:val="20"/>
              </w:rPr>
            </w:pPr>
            <w:r>
              <w:rPr>
                <w:sz w:val="20"/>
                <w:szCs w:val="20"/>
              </w:rPr>
              <w:t>(1,237)</w:t>
            </w:r>
          </w:p>
        </w:tc>
        <w:tc>
          <w:tcPr>
            <w:tcW w:w="1350" w:type="dxa"/>
          </w:tcPr>
          <w:p w:rsidR="00D04647" w:rsidRDefault="00467F77" w:rsidP="00467F77">
            <w:pPr>
              <w:pStyle w:val="NoSpacing"/>
              <w:jc w:val="right"/>
              <w:rPr>
                <w:sz w:val="20"/>
                <w:szCs w:val="20"/>
              </w:rPr>
            </w:pPr>
            <w:r>
              <w:rPr>
                <w:sz w:val="20"/>
                <w:szCs w:val="20"/>
              </w:rPr>
              <w:t>N/A</w:t>
            </w:r>
          </w:p>
        </w:tc>
      </w:tr>
      <w:tr w:rsidR="00D04647" w:rsidRPr="00981CD4" w:rsidTr="006063A5">
        <w:tc>
          <w:tcPr>
            <w:tcW w:w="6376" w:type="dxa"/>
          </w:tcPr>
          <w:p w:rsidR="00D04647" w:rsidRDefault="00467F77" w:rsidP="00E756CB">
            <w:pPr>
              <w:pStyle w:val="NoSpacing"/>
              <w:rPr>
                <w:sz w:val="20"/>
                <w:szCs w:val="20"/>
              </w:rPr>
            </w:pPr>
            <w:r>
              <w:rPr>
                <w:sz w:val="20"/>
                <w:szCs w:val="20"/>
              </w:rPr>
              <w:t xml:space="preserve">Changes in fixed deposits </w:t>
            </w:r>
            <w:r w:rsidR="002E4957">
              <w:rPr>
                <w:sz w:val="20"/>
                <w:szCs w:val="20"/>
              </w:rPr>
              <w:t xml:space="preserve">pledged </w:t>
            </w:r>
            <w:r>
              <w:rPr>
                <w:sz w:val="20"/>
                <w:szCs w:val="20"/>
              </w:rPr>
              <w:t>with licensed banks</w:t>
            </w:r>
          </w:p>
        </w:tc>
        <w:tc>
          <w:tcPr>
            <w:tcW w:w="1292" w:type="dxa"/>
            <w:tcBorders>
              <w:bottom w:val="single" w:sz="4" w:space="0" w:color="auto"/>
            </w:tcBorders>
          </w:tcPr>
          <w:p w:rsidR="00D04647" w:rsidRDefault="00467F77" w:rsidP="00E756CB">
            <w:pPr>
              <w:pStyle w:val="NoSpacing"/>
              <w:jc w:val="right"/>
              <w:rPr>
                <w:sz w:val="20"/>
                <w:szCs w:val="20"/>
              </w:rPr>
            </w:pPr>
            <w:r>
              <w:rPr>
                <w:sz w:val="20"/>
                <w:szCs w:val="20"/>
              </w:rPr>
              <w:t>1,304</w:t>
            </w:r>
          </w:p>
        </w:tc>
        <w:tc>
          <w:tcPr>
            <w:tcW w:w="1350" w:type="dxa"/>
            <w:tcBorders>
              <w:bottom w:val="single" w:sz="4" w:space="0" w:color="auto"/>
            </w:tcBorders>
          </w:tcPr>
          <w:p w:rsidR="00D04647" w:rsidRDefault="00467F77" w:rsidP="00467F77">
            <w:pPr>
              <w:pStyle w:val="NoSpacing"/>
              <w:jc w:val="right"/>
              <w:rPr>
                <w:sz w:val="20"/>
                <w:szCs w:val="20"/>
              </w:rPr>
            </w:pPr>
            <w:r>
              <w:rPr>
                <w:sz w:val="20"/>
                <w:szCs w:val="20"/>
              </w:rPr>
              <w:t>N/A</w:t>
            </w:r>
          </w:p>
        </w:tc>
      </w:tr>
      <w:tr w:rsidR="00D04647" w:rsidRPr="00467F77" w:rsidTr="006063A5">
        <w:tc>
          <w:tcPr>
            <w:tcW w:w="6376" w:type="dxa"/>
          </w:tcPr>
          <w:p w:rsidR="00D04647" w:rsidRPr="00467F77" w:rsidRDefault="00467F77" w:rsidP="00E756CB">
            <w:pPr>
              <w:pStyle w:val="NoSpacing"/>
              <w:rPr>
                <w:b/>
                <w:sz w:val="20"/>
                <w:szCs w:val="20"/>
              </w:rPr>
            </w:pPr>
            <w:r w:rsidRPr="00467F77">
              <w:rPr>
                <w:b/>
                <w:sz w:val="20"/>
                <w:szCs w:val="20"/>
              </w:rPr>
              <w:t>Net cash generated from financing activities</w:t>
            </w:r>
          </w:p>
        </w:tc>
        <w:tc>
          <w:tcPr>
            <w:tcW w:w="1292" w:type="dxa"/>
            <w:tcBorders>
              <w:top w:val="single" w:sz="4" w:space="0" w:color="auto"/>
              <w:bottom w:val="single" w:sz="4" w:space="0" w:color="auto"/>
            </w:tcBorders>
          </w:tcPr>
          <w:p w:rsidR="00D04647" w:rsidRPr="00467F77" w:rsidRDefault="00467F77" w:rsidP="00E756CB">
            <w:pPr>
              <w:pStyle w:val="NoSpacing"/>
              <w:jc w:val="right"/>
              <w:rPr>
                <w:b/>
                <w:sz w:val="20"/>
                <w:szCs w:val="20"/>
              </w:rPr>
            </w:pPr>
            <w:r w:rsidRPr="00467F77">
              <w:rPr>
                <w:b/>
                <w:sz w:val="20"/>
                <w:szCs w:val="20"/>
              </w:rPr>
              <w:t>67</w:t>
            </w:r>
          </w:p>
        </w:tc>
        <w:tc>
          <w:tcPr>
            <w:tcW w:w="1350" w:type="dxa"/>
            <w:tcBorders>
              <w:top w:val="single" w:sz="4" w:space="0" w:color="auto"/>
              <w:bottom w:val="single" w:sz="4" w:space="0" w:color="auto"/>
            </w:tcBorders>
          </w:tcPr>
          <w:p w:rsidR="00D04647" w:rsidRPr="00467F77" w:rsidRDefault="00467F77" w:rsidP="00467F77">
            <w:pPr>
              <w:pStyle w:val="NoSpacing"/>
              <w:jc w:val="right"/>
              <w:rPr>
                <w:b/>
                <w:sz w:val="20"/>
                <w:szCs w:val="20"/>
              </w:rPr>
            </w:pPr>
            <w:r w:rsidRPr="00467F77">
              <w:rPr>
                <w:b/>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2E4957" w:rsidRDefault="00467F77" w:rsidP="00E756CB">
            <w:pPr>
              <w:pStyle w:val="NoSpacing"/>
              <w:rPr>
                <w:b/>
                <w:sz w:val="20"/>
                <w:szCs w:val="20"/>
              </w:rPr>
            </w:pPr>
            <w:r w:rsidRPr="002E4957">
              <w:rPr>
                <w:b/>
                <w:sz w:val="20"/>
                <w:szCs w:val="20"/>
              </w:rPr>
              <w:t>Net increase in cash and cash equivalents</w:t>
            </w:r>
          </w:p>
        </w:tc>
        <w:tc>
          <w:tcPr>
            <w:tcW w:w="1292" w:type="dxa"/>
          </w:tcPr>
          <w:p w:rsidR="00D04647" w:rsidRPr="002E4957" w:rsidRDefault="00171367" w:rsidP="00E756CB">
            <w:pPr>
              <w:pStyle w:val="NoSpacing"/>
              <w:jc w:val="right"/>
              <w:rPr>
                <w:b/>
                <w:sz w:val="20"/>
                <w:szCs w:val="20"/>
              </w:rPr>
            </w:pPr>
            <w:r>
              <w:rPr>
                <w:b/>
                <w:sz w:val="20"/>
                <w:szCs w:val="20"/>
              </w:rPr>
              <w:t>14,349</w:t>
            </w:r>
          </w:p>
        </w:tc>
        <w:tc>
          <w:tcPr>
            <w:tcW w:w="1350" w:type="dxa"/>
          </w:tcPr>
          <w:p w:rsidR="00D04647" w:rsidRPr="002E4957" w:rsidRDefault="002E4957" w:rsidP="002E4957">
            <w:pPr>
              <w:pStyle w:val="NoSpacing"/>
              <w:jc w:val="right"/>
              <w:rPr>
                <w:b/>
                <w:sz w:val="20"/>
                <w:szCs w:val="20"/>
              </w:rPr>
            </w:pPr>
            <w:r w:rsidRPr="002E4957">
              <w:rPr>
                <w:b/>
                <w:sz w:val="20"/>
                <w:szCs w:val="20"/>
              </w:rPr>
              <w:t>N/A</w:t>
            </w:r>
          </w:p>
        </w:tc>
      </w:tr>
      <w:tr w:rsidR="00D04647" w:rsidRPr="00981CD4" w:rsidTr="006063A5">
        <w:tc>
          <w:tcPr>
            <w:tcW w:w="6376" w:type="dxa"/>
          </w:tcPr>
          <w:p w:rsidR="00D04647" w:rsidRDefault="002E4957" w:rsidP="00E756CB">
            <w:pPr>
              <w:pStyle w:val="NoSpacing"/>
              <w:rPr>
                <w:sz w:val="20"/>
                <w:szCs w:val="20"/>
              </w:rPr>
            </w:pPr>
            <w:r>
              <w:rPr>
                <w:sz w:val="20"/>
                <w:szCs w:val="20"/>
              </w:rPr>
              <w:t>Cash and cash equivalents at the beginning of period</w:t>
            </w:r>
          </w:p>
        </w:tc>
        <w:tc>
          <w:tcPr>
            <w:tcW w:w="1292" w:type="dxa"/>
          </w:tcPr>
          <w:p w:rsidR="00D04647" w:rsidRDefault="002E4957" w:rsidP="00E756CB">
            <w:pPr>
              <w:pStyle w:val="NoSpacing"/>
              <w:jc w:val="right"/>
              <w:rPr>
                <w:sz w:val="20"/>
                <w:szCs w:val="20"/>
              </w:rPr>
            </w:pPr>
            <w:r>
              <w:rPr>
                <w:sz w:val="20"/>
                <w:szCs w:val="20"/>
              </w:rPr>
              <w:t>*</w:t>
            </w:r>
          </w:p>
        </w:tc>
        <w:tc>
          <w:tcPr>
            <w:tcW w:w="1350" w:type="dxa"/>
          </w:tcPr>
          <w:p w:rsidR="00D04647" w:rsidRDefault="002E4957" w:rsidP="002E4957">
            <w:pPr>
              <w:pStyle w:val="NoSpacing"/>
              <w:jc w:val="right"/>
              <w:rPr>
                <w:sz w:val="20"/>
                <w:szCs w:val="20"/>
              </w:rPr>
            </w:pPr>
            <w:r>
              <w:rPr>
                <w:sz w:val="20"/>
                <w:szCs w:val="20"/>
              </w:rPr>
              <w:t>N/A</w:t>
            </w:r>
          </w:p>
        </w:tc>
      </w:tr>
      <w:tr w:rsidR="00D04647" w:rsidRPr="00981CD4" w:rsidTr="006063A5">
        <w:tc>
          <w:tcPr>
            <w:tcW w:w="6376" w:type="dxa"/>
          </w:tcPr>
          <w:p w:rsidR="00D04647" w:rsidRDefault="002E4957" w:rsidP="00E756CB">
            <w:pPr>
              <w:pStyle w:val="NoSpacing"/>
              <w:rPr>
                <w:sz w:val="20"/>
                <w:szCs w:val="20"/>
              </w:rPr>
            </w:pPr>
            <w:r>
              <w:rPr>
                <w:sz w:val="20"/>
                <w:szCs w:val="20"/>
              </w:rPr>
              <w:t>Cash and cash equivalents arising from reverse acquisition</w:t>
            </w:r>
          </w:p>
        </w:tc>
        <w:tc>
          <w:tcPr>
            <w:tcW w:w="1292" w:type="dxa"/>
            <w:tcBorders>
              <w:bottom w:val="single" w:sz="4" w:space="0" w:color="auto"/>
            </w:tcBorders>
          </w:tcPr>
          <w:p w:rsidR="00D04647" w:rsidRDefault="002E4957" w:rsidP="00E756CB">
            <w:pPr>
              <w:pStyle w:val="NoSpacing"/>
              <w:jc w:val="right"/>
              <w:rPr>
                <w:sz w:val="20"/>
                <w:szCs w:val="20"/>
              </w:rPr>
            </w:pPr>
            <w:r>
              <w:rPr>
                <w:sz w:val="20"/>
                <w:szCs w:val="20"/>
              </w:rPr>
              <w:t>3,058</w:t>
            </w:r>
          </w:p>
        </w:tc>
        <w:tc>
          <w:tcPr>
            <w:tcW w:w="1350" w:type="dxa"/>
            <w:tcBorders>
              <w:bottom w:val="single" w:sz="4" w:space="0" w:color="auto"/>
            </w:tcBorders>
          </w:tcPr>
          <w:p w:rsidR="00D04647" w:rsidRDefault="002E4957" w:rsidP="002E4957">
            <w:pPr>
              <w:pStyle w:val="NoSpacing"/>
              <w:jc w:val="right"/>
              <w:rPr>
                <w:sz w:val="20"/>
                <w:szCs w:val="20"/>
              </w:rPr>
            </w:pPr>
            <w:r>
              <w:rPr>
                <w:sz w:val="20"/>
                <w:szCs w:val="20"/>
              </w:rPr>
              <w:t>N/A</w:t>
            </w:r>
          </w:p>
        </w:tc>
      </w:tr>
      <w:tr w:rsidR="00D04647" w:rsidRPr="00981CD4" w:rsidTr="006063A5">
        <w:tc>
          <w:tcPr>
            <w:tcW w:w="6376" w:type="dxa"/>
          </w:tcPr>
          <w:p w:rsidR="00D04647" w:rsidRPr="002E4957" w:rsidRDefault="002E4957" w:rsidP="00E756CB">
            <w:pPr>
              <w:pStyle w:val="NoSpacing"/>
              <w:rPr>
                <w:b/>
                <w:sz w:val="20"/>
                <w:szCs w:val="20"/>
              </w:rPr>
            </w:pPr>
            <w:r w:rsidRPr="002E4957">
              <w:rPr>
                <w:b/>
                <w:sz w:val="20"/>
                <w:szCs w:val="20"/>
              </w:rPr>
              <w:t>Cash and cash equivalents at the end of period</w:t>
            </w:r>
          </w:p>
        </w:tc>
        <w:tc>
          <w:tcPr>
            <w:tcW w:w="1292" w:type="dxa"/>
            <w:tcBorders>
              <w:top w:val="single" w:sz="4" w:space="0" w:color="auto"/>
              <w:bottom w:val="single" w:sz="4" w:space="0" w:color="auto"/>
            </w:tcBorders>
          </w:tcPr>
          <w:p w:rsidR="00D04647" w:rsidRPr="002E4957" w:rsidRDefault="002E4957" w:rsidP="00E756CB">
            <w:pPr>
              <w:pStyle w:val="NoSpacing"/>
              <w:jc w:val="right"/>
              <w:rPr>
                <w:b/>
                <w:sz w:val="20"/>
                <w:szCs w:val="20"/>
              </w:rPr>
            </w:pPr>
            <w:r w:rsidRPr="002E4957">
              <w:rPr>
                <w:b/>
                <w:sz w:val="20"/>
                <w:szCs w:val="20"/>
              </w:rPr>
              <w:t>17,407</w:t>
            </w:r>
          </w:p>
        </w:tc>
        <w:tc>
          <w:tcPr>
            <w:tcW w:w="1350" w:type="dxa"/>
            <w:tcBorders>
              <w:top w:val="single" w:sz="4" w:space="0" w:color="auto"/>
              <w:bottom w:val="single" w:sz="4" w:space="0" w:color="auto"/>
            </w:tcBorders>
          </w:tcPr>
          <w:p w:rsidR="00D04647" w:rsidRPr="002E4957" w:rsidRDefault="002E4957" w:rsidP="002E4957">
            <w:pPr>
              <w:pStyle w:val="NoSpacing"/>
              <w:jc w:val="right"/>
              <w:rPr>
                <w:b/>
                <w:sz w:val="20"/>
                <w:szCs w:val="20"/>
              </w:rPr>
            </w:pPr>
            <w:r w:rsidRPr="002E4957">
              <w:rPr>
                <w:b/>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D04647" w:rsidP="00E756CB">
            <w:pPr>
              <w:pStyle w:val="NoSpacing"/>
              <w:jc w:val="right"/>
              <w:rPr>
                <w:sz w:val="20"/>
                <w:szCs w:val="20"/>
              </w:rPr>
            </w:pPr>
          </w:p>
        </w:tc>
        <w:tc>
          <w:tcPr>
            <w:tcW w:w="1350" w:type="dxa"/>
            <w:tcBorders>
              <w:top w:val="single" w:sz="4" w:space="0" w:color="auto"/>
            </w:tcBorders>
          </w:tcPr>
          <w:p w:rsidR="00D04647" w:rsidRDefault="00D04647" w:rsidP="00D04647">
            <w:pPr>
              <w:pStyle w:val="NoSpacing"/>
              <w:rPr>
                <w:sz w:val="20"/>
                <w:szCs w:val="20"/>
              </w:rPr>
            </w:pPr>
          </w:p>
        </w:tc>
      </w:tr>
      <w:tr w:rsidR="00D04647" w:rsidRPr="00981CD4" w:rsidTr="006063A5">
        <w:tc>
          <w:tcPr>
            <w:tcW w:w="6376" w:type="dxa"/>
          </w:tcPr>
          <w:p w:rsidR="00D04647" w:rsidRPr="00171367" w:rsidRDefault="00171367" w:rsidP="00E756CB">
            <w:pPr>
              <w:pStyle w:val="NoSpacing"/>
              <w:rPr>
                <w:b/>
                <w:sz w:val="20"/>
                <w:szCs w:val="20"/>
              </w:rPr>
            </w:pPr>
            <w:r w:rsidRPr="00171367">
              <w:rPr>
                <w:b/>
                <w:sz w:val="20"/>
                <w:szCs w:val="20"/>
              </w:rPr>
              <w:t>Cash and cash equivalents comprise of the following:</w:t>
            </w:r>
          </w:p>
        </w:tc>
        <w:tc>
          <w:tcPr>
            <w:tcW w:w="1292" w:type="dxa"/>
          </w:tcPr>
          <w:p w:rsidR="00D04647" w:rsidRDefault="00D04647" w:rsidP="00E756CB">
            <w:pPr>
              <w:pStyle w:val="NoSpacing"/>
              <w:jc w:val="right"/>
              <w:rPr>
                <w:sz w:val="20"/>
                <w:szCs w:val="20"/>
              </w:rPr>
            </w:pPr>
          </w:p>
        </w:tc>
        <w:tc>
          <w:tcPr>
            <w:tcW w:w="1350" w:type="dxa"/>
          </w:tcPr>
          <w:p w:rsidR="00D04647" w:rsidRDefault="00D04647" w:rsidP="00D04647">
            <w:pPr>
              <w:pStyle w:val="NoSpacing"/>
              <w:rPr>
                <w:sz w:val="20"/>
                <w:szCs w:val="20"/>
              </w:rPr>
            </w:pPr>
          </w:p>
        </w:tc>
      </w:tr>
      <w:tr w:rsidR="00D04647" w:rsidRPr="00981CD4" w:rsidTr="006063A5">
        <w:tc>
          <w:tcPr>
            <w:tcW w:w="6376" w:type="dxa"/>
          </w:tcPr>
          <w:p w:rsidR="00D04647" w:rsidRDefault="00171367" w:rsidP="00171367">
            <w:pPr>
              <w:pStyle w:val="NoSpacing"/>
              <w:numPr>
                <w:ilvl w:val="0"/>
                <w:numId w:val="19"/>
              </w:numPr>
              <w:rPr>
                <w:sz w:val="20"/>
                <w:szCs w:val="20"/>
              </w:rPr>
            </w:pPr>
            <w:r>
              <w:rPr>
                <w:sz w:val="20"/>
                <w:szCs w:val="20"/>
              </w:rPr>
              <w:t>Fixed deposits with licensed banks</w:t>
            </w:r>
          </w:p>
        </w:tc>
        <w:tc>
          <w:tcPr>
            <w:tcW w:w="1292" w:type="dxa"/>
          </w:tcPr>
          <w:p w:rsidR="00D04647" w:rsidRDefault="00171367" w:rsidP="00E756CB">
            <w:pPr>
              <w:pStyle w:val="NoSpacing"/>
              <w:jc w:val="right"/>
              <w:rPr>
                <w:sz w:val="20"/>
                <w:szCs w:val="20"/>
              </w:rPr>
            </w:pPr>
            <w:r>
              <w:rPr>
                <w:sz w:val="20"/>
                <w:szCs w:val="20"/>
              </w:rPr>
              <w:t>31,066</w:t>
            </w:r>
          </w:p>
        </w:tc>
        <w:tc>
          <w:tcPr>
            <w:tcW w:w="1350" w:type="dxa"/>
          </w:tcPr>
          <w:p w:rsidR="00D04647" w:rsidRDefault="00171367" w:rsidP="00171367">
            <w:pPr>
              <w:pStyle w:val="NoSpacing"/>
              <w:jc w:val="right"/>
              <w:rPr>
                <w:sz w:val="20"/>
                <w:szCs w:val="20"/>
              </w:rPr>
            </w:pPr>
            <w:r>
              <w:rPr>
                <w:sz w:val="20"/>
                <w:szCs w:val="20"/>
              </w:rPr>
              <w:t>N/A</w:t>
            </w:r>
          </w:p>
        </w:tc>
      </w:tr>
      <w:tr w:rsidR="00D04647" w:rsidRPr="00981CD4" w:rsidTr="006063A5">
        <w:tc>
          <w:tcPr>
            <w:tcW w:w="6376" w:type="dxa"/>
          </w:tcPr>
          <w:p w:rsidR="00D04647" w:rsidRDefault="00171367" w:rsidP="00171367">
            <w:pPr>
              <w:pStyle w:val="NoSpacing"/>
              <w:numPr>
                <w:ilvl w:val="0"/>
                <w:numId w:val="19"/>
              </w:numPr>
              <w:rPr>
                <w:sz w:val="20"/>
                <w:szCs w:val="20"/>
              </w:rPr>
            </w:pPr>
            <w:r>
              <w:rPr>
                <w:sz w:val="20"/>
                <w:szCs w:val="20"/>
              </w:rPr>
              <w:t>Cash and bank balances</w:t>
            </w:r>
          </w:p>
        </w:tc>
        <w:tc>
          <w:tcPr>
            <w:tcW w:w="1292" w:type="dxa"/>
            <w:tcBorders>
              <w:bottom w:val="single" w:sz="4" w:space="0" w:color="auto"/>
            </w:tcBorders>
          </w:tcPr>
          <w:p w:rsidR="00D04647" w:rsidRDefault="00171367" w:rsidP="00E756CB">
            <w:pPr>
              <w:pStyle w:val="NoSpacing"/>
              <w:jc w:val="right"/>
              <w:rPr>
                <w:sz w:val="20"/>
                <w:szCs w:val="20"/>
              </w:rPr>
            </w:pPr>
            <w:r>
              <w:rPr>
                <w:sz w:val="20"/>
                <w:szCs w:val="20"/>
              </w:rPr>
              <w:t>5,281</w:t>
            </w:r>
          </w:p>
        </w:tc>
        <w:tc>
          <w:tcPr>
            <w:tcW w:w="1350" w:type="dxa"/>
            <w:tcBorders>
              <w:bottom w:val="single" w:sz="4" w:space="0" w:color="auto"/>
            </w:tcBorders>
          </w:tcPr>
          <w:p w:rsidR="00D04647" w:rsidRDefault="00171367" w:rsidP="00171367">
            <w:pPr>
              <w:pStyle w:val="NoSpacing"/>
              <w:jc w:val="right"/>
              <w:rPr>
                <w:sz w:val="20"/>
                <w:szCs w:val="20"/>
              </w:rPr>
            </w:pPr>
            <w:r>
              <w:rPr>
                <w:sz w:val="20"/>
                <w:szCs w:val="20"/>
              </w:rPr>
              <w:t>N/A</w:t>
            </w:r>
          </w:p>
        </w:tc>
      </w:tr>
      <w:tr w:rsidR="00D04647" w:rsidRPr="00981CD4" w:rsidTr="006063A5">
        <w:tc>
          <w:tcPr>
            <w:tcW w:w="6376" w:type="dxa"/>
          </w:tcPr>
          <w:p w:rsidR="00D04647" w:rsidRDefault="00D04647" w:rsidP="00E756CB">
            <w:pPr>
              <w:pStyle w:val="NoSpacing"/>
              <w:rPr>
                <w:sz w:val="20"/>
                <w:szCs w:val="20"/>
              </w:rPr>
            </w:pPr>
          </w:p>
        </w:tc>
        <w:tc>
          <w:tcPr>
            <w:tcW w:w="1292" w:type="dxa"/>
            <w:tcBorders>
              <w:top w:val="single" w:sz="4" w:space="0" w:color="auto"/>
            </w:tcBorders>
          </w:tcPr>
          <w:p w:rsidR="00D04647" w:rsidRDefault="00171367" w:rsidP="00E756CB">
            <w:pPr>
              <w:pStyle w:val="NoSpacing"/>
              <w:jc w:val="right"/>
              <w:rPr>
                <w:sz w:val="20"/>
                <w:szCs w:val="20"/>
              </w:rPr>
            </w:pPr>
            <w:r>
              <w:rPr>
                <w:sz w:val="20"/>
                <w:szCs w:val="20"/>
              </w:rPr>
              <w:t>36,347</w:t>
            </w:r>
          </w:p>
        </w:tc>
        <w:tc>
          <w:tcPr>
            <w:tcW w:w="1350" w:type="dxa"/>
            <w:tcBorders>
              <w:top w:val="single" w:sz="4" w:space="0" w:color="auto"/>
            </w:tcBorders>
          </w:tcPr>
          <w:p w:rsidR="00D04647" w:rsidRDefault="00171367" w:rsidP="00171367">
            <w:pPr>
              <w:pStyle w:val="NoSpacing"/>
              <w:jc w:val="right"/>
              <w:rPr>
                <w:sz w:val="20"/>
                <w:szCs w:val="20"/>
              </w:rPr>
            </w:pPr>
            <w:r>
              <w:rPr>
                <w:sz w:val="20"/>
                <w:szCs w:val="20"/>
              </w:rPr>
              <w:t>N/A</w:t>
            </w:r>
          </w:p>
        </w:tc>
      </w:tr>
      <w:tr w:rsidR="00171367" w:rsidRPr="00981CD4" w:rsidTr="006063A5">
        <w:tc>
          <w:tcPr>
            <w:tcW w:w="6376" w:type="dxa"/>
          </w:tcPr>
          <w:p w:rsidR="00171367" w:rsidRDefault="00171367" w:rsidP="00171367">
            <w:pPr>
              <w:pStyle w:val="NoSpacing"/>
              <w:rPr>
                <w:sz w:val="20"/>
                <w:szCs w:val="20"/>
              </w:rPr>
            </w:pPr>
            <w:r>
              <w:rPr>
                <w:sz w:val="20"/>
                <w:szCs w:val="20"/>
              </w:rPr>
              <w:t>Less: Fixed deposits pledged with licensed banks</w:t>
            </w:r>
          </w:p>
        </w:tc>
        <w:tc>
          <w:tcPr>
            <w:tcW w:w="1292" w:type="dxa"/>
            <w:tcBorders>
              <w:bottom w:val="single" w:sz="4" w:space="0" w:color="auto"/>
            </w:tcBorders>
          </w:tcPr>
          <w:p w:rsidR="00171367" w:rsidRDefault="00171367" w:rsidP="00E756CB">
            <w:pPr>
              <w:pStyle w:val="NoSpacing"/>
              <w:jc w:val="right"/>
              <w:rPr>
                <w:sz w:val="20"/>
                <w:szCs w:val="20"/>
              </w:rPr>
            </w:pPr>
            <w:r>
              <w:rPr>
                <w:sz w:val="20"/>
                <w:szCs w:val="20"/>
              </w:rPr>
              <w:t>(18,940)</w:t>
            </w:r>
          </w:p>
        </w:tc>
        <w:tc>
          <w:tcPr>
            <w:tcW w:w="1350" w:type="dxa"/>
            <w:tcBorders>
              <w:bottom w:val="single" w:sz="4" w:space="0" w:color="auto"/>
            </w:tcBorders>
          </w:tcPr>
          <w:p w:rsidR="00171367" w:rsidRDefault="00171367" w:rsidP="00171367">
            <w:pPr>
              <w:pStyle w:val="NoSpacing"/>
              <w:jc w:val="right"/>
              <w:rPr>
                <w:sz w:val="20"/>
                <w:szCs w:val="20"/>
              </w:rPr>
            </w:pPr>
            <w:r>
              <w:rPr>
                <w:sz w:val="20"/>
                <w:szCs w:val="20"/>
              </w:rPr>
              <w:t>N/A</w:t>
            </w:r>
          </w:p>
        </w:tc>
      </w:tr>
      <w:tr w:rsidR="00171367" w:rsidRPr="00981CD4" w:rsidTr="006063A5">
        <w:tc>
          <w:tcPr>
            <w:tcW w:w="6376" w:type="dxa"/>
          </w:tcPr>
          <w:p w:rsidR="00171367" w:rsidRDefault="00171367" w:rsidP="00E756CB">
            <w:pPr>
              <w:pStyle w:val="NoSpacing"/>
              <w:rPr>
                <w:sz w:val="20"/>
                <w:szCs w:val="20"/>
              </w:rPr>
            </w:pPr>
          </w:p>
        </w:tc>
        <w:tc>
          <w:tcPr>
            <w:tcW w:w="1292" w:type="dxa"/>
            <w:tcBorders>
              <w:top w:val="single" w:sz="4" w:space="0" w:color="auto"/>
              <w:bottom w:val="single" w:sz="4" w:space="0" w:color="auto"/>
            </w:tcBorders>
          </w:tcPr>
          <w:p w:rsidR="00171367" w:rsidRPr="006063A5" w:rsidRDefault="00171367" w:rsidP="00E756CB">
            <w:pPr>
              <w:pStyle w:val="NoSpacing"/>
              <w:jc w:val="right"/>
              <w:rPr>
                <w:b/>
                <w:sz w:val="20"/>
                <w:szCs w:val="20"/>
              </w:rPr>
            </w:pPr>
            <w:r w:rsidRPr="006063A5">
              <w:rPr>
                <w:b/>
                <w:sz w:val="20"/>
                <w:szCs w:val="20"/>
              </w:rPr>
              <w:t>17,407</w:t>
            </w:r>
          </w:p>
        </w:tc>
        <w:tc>
          <w:tcPr>
            <w:tcW w:w="1350" w:type="dxa"/>
            <w:tcBorders>
              <w:top w:val="single" w:sz="4" w:space="0" w:color="auto"/>
              <w:bottom w:val="single" w:sz="4" w:space="0" w:color="auto"/>
            </w:tcBorders>
          </w:tcPr>
          <w:p w:rsidR="00171367" w:rsidRPr="006063A5" w:rsidRDefault="00171367" w:rsidP="00171367">
            <w:pPr>
              <w:pStyle w:val="NoSpacing"/>
              <w:jc w:val="right"/>
              <w:rPr>
                <w:b/>
                <w:sz w:val="20"/>
                <w:szCs w:val="20"/>
              </w:rPr>
            </w:pPr>
            <w:r w:rsidRPr="006063A5">
              <w:rPr>
                <w:b/>
                <w:sz w:val="20"/>
                <w:szCs w:val="20"/>
              </w:rPr>
              <w:t>N/A</w:t>
            </w:r>
          </w:p>
        </w:tc>
      </w:tr>
    </w:tbl>
    <w:p w:rsidR="006063A5" w:rsidRPr="006063A5" w:rsidRDefault="006063A5" w:rsidP="006063A5">
      <w:pPr>
        <w:pStyle w:val="NoSpacing"/>
        <w:rPr>
          <w:b/>
          <w:sz w:val="20"/>
          <w:szCs w:val="20"/>
        </w:rPr>
      </w:pPr>
      <w:r w:rsidRPr="006063A5">
        <w:rPr>
          <w:b/>
          <w:sz w:val="20"/>
          <w:szCs w:val="20"/>
        </w:rPr>
        <w:t>Notes:</w:t>
      </w:r>
    </w:p>
    <w:p w:rsidR="006063A5" w:rsidRPr="006063A5" w:rsidRDefault="006063A5" w:rsidP="006063A5">
      <w:pPr>
        <w:pStyle w:val="NoSpacing"/>
        <w:jc w:val="both"/>
        <w:rPr>
          <w:rFonts w:ascii="Arial" w:hAnsi="Arial" w:cs="Arial"/>
          <w:b/>
          <w:sz w:val="24"/>
          <w:szCs w:val="24"/>
        </w:rPr>
      </w:pPr>
      <w:r w:rsidRPr="006063A5">
        <w:rPr>
          <w:sz w:val="20"/>
          <w:szCs w:val="20"/>
        </w:rPr>
        <w:t xml:space="preserve">The above </w:t>
      </w:r>
      <w:proofErr w:type="spellStart"/>
      <w:r w:rsidRPr="006063A5">
        <w:rPr>
          <w:sz w:val="20"/>
          <w:szCs w:val="20"/>
        </w:rPr>
        <w:t>proforma</w:t>
      </w:r>
      <w:proofErr w:type="spellEnd"/>
      <w:r w:rsidRPr="006063A5">
        <w:rPr>
          <w:sz w:val="20"/>
          <w:szCs w:val="20"/>
        </w:rPr>
        <w:t xml:space="preserve"> unaudited condensed consolidated cash flow statement is for illustration purpose only. It is prepared based on the changes in cash flows of the Company and its subsidiaries assuming the Group has existed since inception. </w:t>
      </w:r>
      <w:proofErr w:type="gramStart"/>
      <w:r w:rsidRPr="006063A5">
        <w:rPr>
          <w:sz w:val="20"/>
          <w:szCs w:val="20"/>
        </w:rPr>
        <w:t>*  Denotes</w:t>
      </w:r>
      <w:proofErr w:type="gramEnd"/>
      <w:r w:rsidRPr="006063A5">
        <w:rPr>
          <w:sz w:val="20"/>
          <w:szCs w:val="20"/>
        </w:rPr>
        <w:t xml:space="preserve"> RM2.</w:t>
      </w:r>
      <w:r w:rsidRPr="006063A5">
        <w:rPr>
          <w:rFonts w:ascii="Arial" w:hAnsi="Arial" w:cs="Arial"/>
          <w:b/>
          <w:sz w:val="24"/>
          <w:szCs w:val="24"/>
        </w:rPr>
        <w:br w:type="page"/>
      </w:r>
    </w:p>
    <w:p w:rsidR="00177BA4" w:rsidRPr="002F1C6E" w:rsidRDefault="00177BA4" w:rsidP="00177BA4">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177BA4" w:rsidRDefault="00177BA4" w:rsidP="00E91F43">
      <w:pPr>
        <w:pStyle w:val="NoSpacing"/>
        <w:ind w:left="720" w:hanging="720"/>
        <w:jc w:val="both"/>
        <w:rPr>
          <w:b/>
        </w:rPr>
      </w:pPr>
      <w:r w:rsidRPr="00177BA4">
        <w:rPr>
          <w:b/>
        </w:rPr>
        <w:t>A.</w:t>
      </w:r>
      <w:r>
        <w:rPr>
          <w:b/>
        </w:rPr>
        <w:tab/>
        <w:t xml:space="preserve">EXPLANATORY NOTES </w:t>
      </w:r>
      <w:r w:rsidR="00022449">
        <w:rPr>
          <w:b/>
        </w:rPr>
        <w:t xml:space="preserve">PURSUANT TO </w:t>
      </w:r>
      <w:r w:rsidR="00E91F43">
        <w:rPr>
          <w:b/>
        </w:rPr>
        <w:t xml:space="preserve">MALAYSIAN </w:t>
      </w:r>
      <w:r w:rsidR="002579B7">
        <w:rPr>
          <w:b/>
        </w:rPr>
        <w:t>FINANCIAL REPORTING STANDARD (“</w:t>
      </w:r>
      <w:r w:rsidR="00E91F43">
        <w:rPr>
          <w:b/>
        </w:rPr>
        <w:t>M</w:t>
      </w:r>
      <w:r>
        <w:rPr>
          <w:b/>
        </w:rPr>
        <w:t>FRS”) 134: INTERIM FINANCIAL REPORTING</w:t>
      </w:r>
    </w:p>
    <w:p w:rsidR="00177BA4" w:rsidRDefault="00177BA4" w:rsidP="00177BA4">
      <w:pPr>
        <w:pStyle w:val="NoSpacing"/>
        <w:ind w:left="720" w:hanging="720"/>
        <w:rPr>
          <w:b/>
        </w:rPr>
      </w:pPr>
    </w:p>
    <w:p w:rsidR="00177BA4" w:rsidRDefault="00177BA4" w:rsidP="00177BA4">
      <w:pPr>
        <w:pStyle w:val="NoSpacing"/>
        <w:ind w:left="720" w:hanging="720"/>
        <w:rPr>
          <w:b/>
        </w:rPr>
      </w:pPr>
      <w:r>
        <w:rPr>
          <w:b/>
        </w:rPr>
        <w:t>A1.</w:t>
      </w:r>
      <w:r>
        <w:rPr>
          <w:b/>
        </w:rPr>
        <w:tab/>
        <w:t>Basis of preparation</w:t>
      </w:r>
    </w:p>
    <w:p w:rsidR="00177BA4" w:rsidRDefault="00177BA4" w:rsidP="00177BA4">
      <w:pPr>
        <w:pStyle w:val="NoSpacing"/>
        <w:ind w:left="720" w:hanging="720"/>
        <w:rPr>
          <w:b/>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are unaudited and have been prepared in accordance with the </w:t>
      </w:r>
      <w:r w:rsidR="0052556A">
        <w:rPr>
          <w:rFonts w:asciiTheme="minorHAnsi" w:hAnsiTheme="minorHAnsi" w:cstheme="minorHAnsi"/>
          <w:sz w:val="22"/>
          <w:szCs w:val="22"/>
        </w:rPr>
        <w:t xml:space="preserve">requirements of </w:t>
      </w:r>
      <w:r w:rsidR="00E91F43">
        <w:rPr>
          <w:rFonts w:asciiTheme="minorHAnsi" w:hAnsiTheme="minorHAnsi" w:cstheme="minorHAnsi"/>
          <w:sz w:val="22"/>
          <w:szCs w:val="22"/>
        </w:rPr>
        <w:t>M</w:t>
      </w:r>
      <w:r w:rsidRPr="0072613E">
        <w:rPr>
          <w:rFonts w:asciiTheme="minorHAnsi" w:hAnsiTheme="minorHAnsi" w:cstheme="minorHAnsi"/>
          <w:sz w:val="22"/>
          <w:szCs w:val="22"/>
        </w:rPr>
        <w:t xml:space="preserve">FRS 134: Interim Financial Reporting and paragraph 9.22 of the Bursa Malaysia Securities </w:t>
      </w:r>
      <w:proofErr w:type="spellStart"/>
      <w:r w:rsidRPr="0072613E">
        <w:rPr>
          <w:rFonts w:asciiTheme="minorHAnsi" w:hAnsiTheme="minorHAnsi" w:cstheme="minorHAnsi"/>
          <w:sz w:val="22"/>
          <w:szCs w:val="22"/>
        </w:rPr>
        <w:t>Berhad</w:t>
      </w:r>
      <w:proofErr w:type="spellEnd"/>
      <w:r w:rsidRPr="0072613E">
        <w:rPr>
          <w:rFonts w:asciiTheme="minorHAnsi" w:hAnsiTheme="minorHAnsi" w:cstheme="minorHAnsi"/>
          <w:sz w:val="22"/>
          <w:szCs w:val="22"/>
        </w:rPr>
        <w:t xml:space="preserve"> ("Bursa Securities") Ma</w:t>
      </w:r>
      <w:r>
        <w:rPr>
          <w:rFonts w:asciiTheme="minorHAnsi" w:hAnsiTheme="minorHAnsi" w:cstheme="minorHAnsi"/>
          <w:sz w:val="22"/>
          <w:szCs w:val="22"/>
        </w:rPr>
        <w:t>in Market Listing Requirements.</w:t>
      </w:r>
    </w:p>
    <w:p w:rsidR="0072613E" w:rsidRPr="0072613E" w:rsidRDefault="0072613E" w:rsidP="0072613E">
      <w:pPr>
        <w:pStyle w:val="Default"/>
        <w:ind w:left="720"/>
        <w:jc w:val="both"/>
        <w:rPr>
          <w:rFonts w:asciiTheme="minorHAnsi" w:hAnsiTheme="minorHAnsi" w:cstheme="minorHAnsi"/>
          <w:sz w:val="22"/>
          <w:szCs w:val="22"/>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The interim financial statements should be read in conjunction with the Accountants’ Report on the PMHB Group for the financial year ended 31 December 2011 as disclosed in the Explanatory Statement-Cum-Circular dated 11 July 2012</w:t>
      </w:r>
      <w:r>
        <w:rPr>
          <w:rFonts w:asciiTheme="minorHAnsi" w:hAnsiTheme="minorHAnsi" w:cstheme="minorHAnsi"/>
          <w:sz w:val="22"/>
          <w:szCs w:val="22"/>
        </w:rPr>
        <w:t>.</w:t>
      </w:r>
    </w:p>
    <w:p w:rsidR="0072613E" w:rsidRPr="0072613E" w:rsidRDefault="0072613E" w:rsidP="0072613E">
      <w:pPr>
        <w:pStyle w:val="Default"/>
        <w:ind w:left="720"/>
        <w:jc w:val="both"/>
        <w:rPr>
          <w:rFonts w:asciiTheme="minorHAnsi" w:hAnsiTheme="minorHAnsi" w:cstheme="minorHAnsi"/>
          <w:sz w:val="22"/>
          <w:szCs w:val="22"/>
        </w:rPr>
      </w:pP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interim financial statements provide an explanation of events and transactions that are significant to an understanding of the changes in the financial position and performance of the Company and its subsidiaries ("The Group") since the financial </w:t>
      </w:r>
      <w:r>
        <w:rPr>
          <w:rFonts w:asciiTheme="minorHAnsi" w:hAnsiTheme="minorHAnsi" w:cstheme="minorHAnsi"/>
          <w:sz w:val="22"/>
          <w:szCs w:val="22"/>
        </w:rPr>
        <w:t>year ended 31 December 2011.</w:t>
      </w:r>
    </w:p>
    <w:p w:rsidR="0072613E" w:rsidRP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 </w:t>
      </w:r>
    </w:p>
    <w:p w:rsidR="0072613E" w:rsidRDefault="0072613E" w:rsidP="0072613E">
      <w:pPr>
        <w:pStyle w:val="Default"/>
        <w:ind w:left="720"/>
        <w:jc w:val="both"/>
        <w:rPr>
          <w:rFonts w:asciiTheme="minorHAnsi" w:hAnsiTheme="minorHAnsi" w:cstheme="minorHAnsi"/>
          <w:sz w:val="22"/>
          <w:szCs w:val="22"/>
        </w:rPr>
      </w:pPr>
      <w:r w:rsidRPr="0072613E">
        <w:rPr>
          <w:rFonts w:asciiTheme="minorHAnsi" w:hAnsiTheme="minorHAnsi" w:cstheme="minorHAnsi"/>
          <w:sz w:val="22"/>
          <w:szCs w:val="22"/>
        </w:rPr>
        <w:t xml:space="preserve">The Group has adopted the </w:t>
      </w:r>
      <w:r>
        <w:rPr>
          <w:rFonts w:asciiTheme="minorHAnsi" w:hAnsiTheme="minorHAnsi" w:cstheme="minorHAnsi"/>
          <w:sz w:val="22"/>
          <w:szCs w:val="22"/>
        </w:rPr>
        <w:t>reverse acquisition</w:t>
      </w:r>
      <w:r w:rsidRPr="0072613E">
        <w:rPr>
          <w:rFonts w:asciiTheme="minorHAnsi" w:hAnsiTheme="minorHAnsi" w:cstheme="minorHAnsi"/>
          <w:sz w:val="22"/>
          <w:szCs w:val="22"/>
        </w:rPr>
        <w:t xml:space="preserve"> accounting </w:t>
      </w:r>
      <w:r>
        <w:rPr>
          <w:rFonts w:asciiTheme="minorHAnsi" w:hAnsiTheme="minorHAnsi" w:cstheme="minorHAnsi"/>
          <w:sz w:val="22"/>
          <w:szCs w:val="22"/>
        </w:rPr>
        <w:t>for the preparation of the</w:t>
      </w:r>
      <w:r w:rsidRPr="0072613E">
        <w:rPr>
          <w:rFonts w:asciiTheme="minorHAnsi" w:hAnsiTheme="minorHAnsi" w:cstheme="minorHAnsi"/>
          <w:sz w:val="22"/>
          <w:szCs w:val="22"/>
        </w:rPr>
        <w:t xml:space="preserve"> interim financial statements which is consistent with the most recent financial statements as disclosed in the Explanatory Statement-Cum-Circular dated 11 July 2012. </w:t>
      </w:r>
    </w:p>
    <w:p w:rsidR="0072613E" w:rsidRDefault="0072613E" w:rsidP="0072613E">
      <w:pPr>
        <w:pStyle w:val="Default"/>
        <w:jc w:val="both"/>
        <w:rPr>
          <w:rFonts w:asciiTheme="minorHAnsi" w:hAnsiTheme="minorHAnsi" w:cstheme="minorHAnsi"/>
          <w:sz w:val="22"/>
          <w:szCs w:val="22"/>
        </w:rPr>
      </w:pPr>
    </w:p>
    <w:p w:rsidR="0072613E" w:rsidRPr="0072613E" w:rsidRDefault="0072613E" w:rsidP="0072613E">
      <w:pPr>
        <w:pStyle w:val="Default"/>
        <w:jc w:val="both"/>
        <w:rPr>
          <w:rFonts w:asciiTheme="minorHAnsi" w:hAnsiTheme="minorHAnsi" w:cstheme="minorHAnsi"/>
          <w:b/>
          <w:sz w:val="22"/>
          <w:szCs w:val="22"/>
        </w:rPr>
      </w:pPr>
      <w:r w:rsidRPr="0072613E">
        <w:rPr>
          <w:rFonts w:asciiTheme="minorHAnsi" w:hAnsiTheme="minorHAnsi" w:cstheme="minorHAnsi"/>
          <w:b/>
          <w:sz w:val="22"/>
          <w:szCs w:val="22"/>
        </w:rPr>
        <w:t>A2.</w:t>
      </w:r>
      <w:r w:rsidRPr="0072613E">
        <w:rPr>
          <w:rFonts w:asciiTheme="minorHAnsi" w:hAnsiTheme="minorHAnsi" w:cstheme="minorHAnsi"/>
          <w:b/>
          <w:sz w:val="22"/>
          <w:szCs w:val="22"/>
        </w:rPr>
        <w:tab/>
        <w:t>Changes in Accounting Policies</w:t>
      </w:r>
    </w:p>
    <w:p w:rsidR="0072613E" w:rsidRPr="0072613E" w:rsidRDefault="0072613E" w:rsidP="0072613E">
      <w:pPr>
        <w:pStyle w:val="Default"/>
        <w:jc w:val="both"/>
        <w:rPr>
          <w:rFonts w:asciiTheme="minorHAnsi" w:hAnsiTheme="minorHAnsi" w:cstheme="minorHAnsi"/>
          <w:sz w:val="22"/>
          <w:szCs w:val="22"/>
        </w:rPr>
      </w:pPr>
      <w:r w:rsidRPr="0072613E">
        <w:rPr>
          <w:rFonts w:asciiTheme="minorHAnsi" w:hAnsiTheme="minorHAnsi" w:cstheme="minorHAnsi"/>
          <w:sz w:val="22"/>
          <w:szCs w:val="22"/>
        </w:rPr>
        <w:t xml:space="preserve"> </w:t>
      </w:r>
    </w:p>
    <w:p w:rsidR="00F8288F" w:rsidRDefault="0052556A" w:rsidP="00850DDC">
      <w:pPr>
        <w:autoSpaceDE w:val="0"/>
        <w:autoSpaceDN w:val="0"/>
        <w:adjustRightInd w:val="0"/>
        <w:spacing w:after="0" w:line="240" w:lineRule="auto"/>
        <w:ind w:left="720"/>
        <w:jc w:val="both"/>
        <w:rPr>
          <w:rFonts w:cstheme="minorHAnsi"/>
        </w:rPr>
      </w:pPr>
      <w:r w:rsidRPr="0052556A">
        <w:rPr>
          <w:rFonts w:cstheme="minorHAnsi"/>
        </w:rPr>
        <w:t>The Group has adopted the Malaysian Financial Reporting Standards issued by the Malaysian Accounting Standards Board for accounting period beginning 1 January 2012.</w:t>
      </w:r>
    </w:p>
    <w:p w:rsidR="0052556A" w:rsidRDefault="0052556A" w:rsidP="00850DDC">
      <w:pPr>
        <w:autoSpaceDE w:val="0"/>
        <w:autoSpaceDN w:val="0"/>
        <w:adjustRightInd w:val="0"/>
        <w:spacing w:after="0" w:line="240" w:lineRule="auto"/>
        <w:jc w:val="both"/>
        <w:rPr>
          <w:rFonts w:cstheme="minorHAnsi"/>
        </w:rPr>
      </w:pPr>
    </w:p>
    <w:p w:rsidR="0052556A" w:rsidRPr="00850DDC" w:rsidRDefault="00850DDC" w:rsidP="00850DDC">
      <w:pPr>
        <w:autoSpaceDE w:val="0"/>
        <w:autoSpaceDN w:val="0"/>
        <w:adjustRightInd w:val="0"/>
        <w:spacing w:after="0" w:line="240" w:lineRule="auto"/>
        <w:jc w:val="both"/>
        <w:rPr>
          <w:rFonts w:cstheme="minorHAnsi"/>
          <w:b/>
          <w:bCs/>
        </w:rPr>
      </w:pPr>
      <w:r w:rsidRPr="00850DDC">
        <w:rPr>
          <w:rFonts w:cstheme="minorHAnsi"/>
          <w:b/>
          <w:bCs/>
        </w:rPr>
        <w:t>A3.</w:t>
      </w:r>
      <w:r w:rsidRPr="00850DDC">
        <w:rPr>
          <w:rFonts w:cstheme="minorHAnsi"/>
          <w:b/>
          <w:bCs/>
        </w:rPr>
        <w:tab/>
        <w:t>Auditors' Report on Preceding Annual Financial Statements</w:t>
      </w:r>
    </w:p>
    <w:p w:rsidR="00850DDC" w:rsidRDefault="00850DDC" w:rsidP="00850DDC">
      <w:pPr>
        <w:autoSpaceDE w:val="0"/>
        <w:autoSpaceDN w:val="0"/>
        <w:adjustRightInd w:val="0"/>
        <w:spacing w:after="0" w:line="240" w:lineRule="auto"/>
        <w:jc w:val="both"/>
        <w:rPr>
          <w:rFonts w:ascii="Times New Roman" w:hAnsi="Times New Roman" w:cs="Times New Roman"/>
          <w:b/>
          <w:bCs/>
          <w:sz w:val="18"/>
          <w:szCs w:val="18"/>
        </w:rPr>
      </w:pPr>
    </w:p>
    <w:p w:rsidR="00850DDC" w:rsidRPr="00850DDC" w:rsidRDefault="00850DDC" w:rsidP="00850DDC">
      <w:pPr>
        <w:autoSpaceDE w:val="0"/>
        <w:autoSpaceDN w:val="0"/>
        <w:adjustRightInd w:val="0"/>
        <w:spacing w:after="0" w:line="240" w:lineRule="auto"/>
        <w:ind w:left="720"/>
        <w:jc w:val="both"/>
        <w:rPr>
          <w:rFonts w:cstheme="minorHAnsi"/>
        </w:rPr>
      </w:pPr>
      <w:r w:rsidRPr="00850DDC">
        <w:rPr>
          <w:rFonts w:cstheme="minorHAnsi"/>
        </w:rPr>
        <w:t>The auditors' report of the Group's annual financial statements for the financial year ended 31 December 2011 was not qualified.</w:t>
      </w:r>
    </w:p>
    <w:p w:rsidR="00850DDC" w:rsidRDefault="00850DDC" w:rsidP="00850DDC">
      <w:pPr>
        <w:autoSpaceDE w:val="0"/>
        <w:autoSpaceDN w:val="0"/>
        <w:adjustRightInd w:val="0"/>
        <w:spacing w:after="0" w:line="240" w:lineRule="auto"/>
        <w:ind w:left="720"/>
        <w:jc w:val="both"/>
        <w:rPr>
          <w:rFonts w:ascii="Times New Roman" w:hAnsi="Times New Roman" w:cs="Times New Roman"/>
          <w:sz w:val="18"/>
          <w:szCs w:val="18"/>
        </w:rPr>
      </w:pPr>
    </w:p>
    <w:p w:rsidR="00850DDC" w:rsidRDefault="00850DDC" w:rsidP="00850DDC">
      <w:pPr>
        <w:autoSpaceDE w:val="0"/>
        <w:autoSpaceDN w:val="0"/>
        <w:adjustRightInd w:val="0"/>
        <w:spacing w:after="0" w:line="240" w:lineRule="auto"/>
        <w:jc w:val="both"/>
        <w:rPr>
          <w:rFonts w:cstheme="minorHAnsi"/>
          <w:b/>
          <w:bCs/>
        </w:rPr>
      </w:pPr>
      <w:r w:rsidRPr="00850DDC">
        <w:rPr>
          <w:rFonts w:cstheme="minorHAnsi"/>
          <w:b/>
          <w:bCs/>
        </w:rPr>
        <w:t>A4.</w:t>
      </w:r>
      <w:r w:rsidRPr="00850DDC">
        <w:rPr>
          <w:rFonts w:cstheme="minorHAnsi"/>
          <w:b/>
          <w:bCs/>
        </w:rPr>
        <w:tab/>
        <w:t>Seasonal or Cyclical Factors</w:t>
      </w:r>
    </w:p>
    <w:p w:rsidR="00850DDC" w:rsidRDefault="00850DDC" w:rsidP="00850DDC">
      <w:pPr>
        <w:autoSpaceDE w:val="0"/>
        <w:autoSpaceDN w:val="0"/>
        <w:adjustRightInd w:val="0"/>
        <w:spacing w:after="0" w:line="240" w:lineRule="auto"/>
        <w:jc w:val="both"/>
        <w:rPr>
          <w:rFonts w:cstheme="minorHAnsi"/>
          <w:b/>
          <w:bCs/>
        </w:rPr>
      </w:pPr>
    </w:p>
    <w:p w:rsidR="00850DDC" w:rsidRDefault="00850DDC" w:rsidP="00850DDC">
      <w:pPr>
        <w:autoSpaceDE w:val="0"/>
        <w:autoSpaceDN w:val="0"/>
        <w:adjustRightInd w:val="0"/>
        <w:spacing w:after="0" w:line="240" w:lineRule="auto"/>
        <w:ind w:left="720"/>
        <w:jc w:val="both"/>
        <w:rPr>
          <w:rFonts w:cstheme="minorHAnsi"/>
        </w:rPr>
      </w:pPr>
      <w:r w:rsidRPr="00850DDC">
        <w:rPr>
          <w:rFonts w:cstheme="minorHAnsi"/>
        </w:rPr>
        <w:t>The business operations of the Group are not significantly affected by any seasonal or cyclical factors.</w:t>
      </w:r>
    </w:p>
    <w:p w:rsidR="00850DDC" w:rsidRPr="00850DDC" w:rsidRDefault="00850DDC" w:rsidP="00850DDC">
      <w:pPr>
        <w:autoSpaceDE w:val="0"/>
        <w:autoSpaceDN w:val="0"/>
        <w:adjustRightInd w:val="0"/>
        <w:spacing w:after="0" w:line="240" w:lineRule="auto"/>
        <w:ind w:left="720"/>
        <w:jc w:val="both"/>
        <w:rPr>
          <w:rFonts w:cstheme="minorHAnsi"/>
          <w:b/>
          <w:bCs/>
        </w:rPr>
      </w:pPr>
    </w:p>
    <w:p w:rsidR="00850DDC" w:rsidRDefault="00850DDC" w:rsidP="00850DDC">
      <w:pPr>
        <w:autoSpaceDE w:val="0"/>
        <w:autoSpaceDN w:val="0"/>
        <w:adjustRightInd w:val="0"/>
        <w:spacing w:after="0" w:line="240" w:lineRule="auto"/>
        <w:rPr>
          <w:rFonts w:cstheme="minorHAnsi"/>
          <w:b/>
          <w:bCs/>
        </w:rPr>
      </w:pPr>
      <w:r w:rsidRPr="00850DDC">
        <w:rPr>
          <w:rFonts w:cstheme="minorHAnsi"/>
          <w:b/>
          <w:bCs/>
        </w:rPr>
        <w:t xml:space="preserve">A5. </w:t>
      </w:r>
      <w:r w:rsidRPr="00850DDC">
        <w:rPr>
          <w:rFonts w:cstheme="minorHAnsi"/>
          <w:b/>
          <w:bCs/>
        </w:rPr>
        <w:tab/>
        <w:t>Unusual Items</w:t>
      </w:r>
    </w:p>
    <w:p w:rsidR="00850DDC" w:rsidRDefault="00850DDC" w:rsidP="00850DDC">
      <w:pPr>
        <w:autoSpaceDE w:val="0"/>
        <w:autoSpaceDN w:val="0"/>
        <w:adjustRightInd w:val="0"/>
        <w:spacing w:after="0" w:line="240" w:lineRule="auto"/>
        <w:rPr>
          <w:rFonts w:cstheme="minorHAnsi"/>
          <w:b/>
          <w:bCs/>
        </w:rPr>
      </w:pPr>
    </w:p>
    <w:p w:rsidR="00A9136E" w:rsidRDefault="00A9136E" w:rsidP="00A9136E">
      <w:pPr>
        <w:autoSpaceDE w:val="0"/>
        <w:autoSpaceDN w:val="0"/>
        <w:adjustRightInd w:val="0"/>
        <w:spacing w:after="0" w:line="240" w:lineRule="auto"/>
        <w:ind w:left="720"/>
        <w:jc w:val="both"/>
      </w:pPr>
      <w:r>
        <w:rPr>
          <w:rFonts w:cstheme="minorHAnsi"/>
        </w:rPr>
        <w:t>During the quarter under review, the Group incurred a</w:t>
      </w:r>
      <w:r w:rsidR="00850DDC">
        <w:rPr>
          <w:rFonts w:cstheme="minorHAnsi"/>
        </w:rPr>
        <w:t xml:space="preserve"> loss on disposal of investment amounting to RM3.1 million</w:t>
      </w:r>
      <w:r>
        <w:rPr>
          <w:rFonts w:cstheme="minorHAnsi"/>
        </w:rPr>
        <w:t>. The disposal is</w:t>
      </w:r>
      <w:r w:rsidR="00850DDC">
        <w:rPr>
          <w:rFonts w:cstheme="minorHAnsi"/>
        </w:rPr>
        <w:t xml:space="preserve"> </w:t>
      </w:r>
      <w:r w:rsidR="00850DDC" w:rsidRPr="00850DDC">
        <w:t>pursuant to the Proposed Restructuring Exercise</w:t>
      </w:r>
      <w:r>
        <w:t xml:space="preserve"> of </w:t>
      </w:r>
      <w:proofErr w:type="spellStart"/>
      <w:r>
        <w:t>Mithril</w:t>
      </w:r>
      <w:proofErr w:type="spellEnd"/>
      <w:r>
        <w:t xml:space="preserve"> </w:t>
      </w:r>
      <w:proofErr w:type="spellStart"/>
      <w:r>
        <w:t>Berhad</w:t>
      </w:r>
      <w:proofErr w:type="spellEnd"/>
      <w:r w:rsidR="00850DDC" w:rsidRPr="00850DDC">
        <w:t xml:space="preserve"> as disclosed in the Explanatory Statement-Cum-Circular dated 11 July 2012</w:t>
      </w:r>
      <w:r>
        <w:t xml:space="preserve">. </w:t>
      </w:r>
    </w:p>
    <w:p w:rsidR="00A9136E" w:rsidRDefault="00A9136E" w:rsidP="00A9136E">
      <w:pPr>
        <w:autoSpaceDE w:val="0"/>
        <w:autoSpaceDN w:val="0"/>
        <w:adjustRightInd w:val="0"/>
        <w:spacing w:after="0" w:line="240" w:lineRule="auto"/>
        <w:ind w:left="720"/>
        <w:jc w:val="both"/>
      </w:pPr>
    </w:p>
    <w:p w:rsidR="00850DDC" w:rsidRPr="00850DDC" w:rsidRDefault="00850DDC" w:rsidP="00A9136E">
      <w:pPr>
        <w:autoSpaceDE w:val="0"/>
        <w:autoSpaceDN w:val="0"/>
        <w:adjustRightInd w:val="0"/>
        <w:spacing w:after="0" w:line="240" w:lineRule="auto"/>
        <w:ind w:left="720"/>
        <w:jc w:val="both"/>
        <w:rPr>
          <w:rFonts w:cstheme="minorHAnsi"/>
        </w:rPr>
      </w:pPr>
      <w:r w:rsidRPr="00850DDC">
        <w:rPr>
          <w:rFonts w:cstheme="minorHAnsi"/>
        </w:rPr>
        <w:t xml:space="preserve">There were no </w:t>
      </w:r>
      <w:r w:rsidR="00A9136E">
        <w:rPr>
          <w:rFonts w:cstheme="minorHAnsi"/>
        </w:rPr>
        <w:t xml:space="preserve">other </w:t>
      </w:r>
      <w:r w:rsidRPr="00850DDC">
        <w:rPr>
          <w:rFonts w:cstheme="minorHAnsi"/>
        </w:rPr>
        <w:t>unusual items affecting assets, liabilities, equity, net income or cash flows in the financial quarter under review.</w:t>
      </w:r>
    </w:p>
    <w:p w:rsidR="00850DDC" w:rsidRDefault="00850DDC" w:rsidP="00850DDC">
      <w:pPr>
        <w:autoSpaceDE w:val="0"/>
        <w:autoSpaceDN w:val="0"/>
        <w:adjustRightInd w:val="0"/>
        <w:spacing w:after="0" w:line="240" w:lineRule="auto"/>
        <w:rPr>
          <w:rFonts w:cstheme="minorHAnsi"/>
          <w:b/>
          <w:bCs/>
        </w:rPr>
      </w:pPr>
    </w:p>
    <w:p w:rsidR="00A9136E" w:rsidRDefault="00A9136E" w:rsidP="00850DDC">
      <w:pPr>
        <w:autoSpaceDE w:val="0"/>
        <w:autoSpaceDN w:val="0"/>
        <w:adjustRightInd w:val="0"/>
        <w:spacing w:after="0" w:line="240" w:lineRule="auto"/>
        <w:rPr>
          <w:rFonts w:cstheme="minorHAnsi"/>
          <w:b/>
          <w:bCs/>
        </w:rPr>
      </w:pPr>
    </w:p>
    <w:p w:rsidR="00A9136E" w:rsidRPr="00850DDC" w:rsidRDefault="00A9136E" w:rsidP="00850DDC">
      <w:pPr>
        <w:autoSpaceDE w:val="0"/>
        <w:autoSpaceDN w:val="0"/>
        <w:adjustRightInd w:val="0"/>
        <w:spacing w:after="0" w:line="240" w:lineRule="auto"/>
        <w:rPr>
          <w:rFonts w:cstheme="minorHAnsi"/>
          <w:b/>
          <w:bCs/>
        </w:rPr>
      </w:pPr>
    </w:p>
    <w:p w:rsidR="00A9136E" w:rsidRPr="002F1C6E" w:rsidRDefault="00A9136E" w:rsidP="00A9136E">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A9136E" w:rsidRDefault="00A9136E" w:rsidP="00E91F43">
      <w:pPr>
        <w:pStyle w:val="NoSpacing"/>
        <w:ind w:left="720" w:hanging="720"/>
        <w:jc w:val="both"/>
        <w:rPr>
          <w:b/>
        </w:rPr>
      </w:pPr>
      <w:r w:rsidRPr="00177BA4">
        <w:rPr>
          <w:b/>
        </w:rPr>
        <w:t>A.</w:t>
      </w:r>
      <w:r>
        <w:rPr>
          <w:b/>
        </w:rPr>
        <w:tab/>
        <w:t xml:space="preserve">EXPLANATORY NOTES </w:t>
      </w:r>
      <w:r w:rsidR="00022449">
        <w:rPr>
          <w:b/>
        </w:rPr>
        <w:t xml:space="preserve">PURSUANT TO </w:t>
      </w:r>
      <w:r w:rsidR="00E91F43">
        <w:rPr>
          <w:b/>
        </w:rPr>
        <w:t xml:space="preserve">MALAYSIAN </w:t>
      </w:r>
      <w:r w:rsidR="002579B7">
        <w:rPr>
          <w:b/>
        </w:rPr>
        <w:t>FINANCIAL REPORTING STANDARD (“</w:t>
      </w:r>
      <w:r w:rsidR="00E91F43">
        <w:rPr>
          <w:b/>
        </w:rPr>
        <w:t>M</w:t>
      </w:r>
      <w:r>
        <w:rPr>
          <w:b/>
        </w:rPr>
        <w:t>FRS”) 134: INTERIM FINANCIAL REPORTING</w:t>
      </w:r>
    </w:p>
    <w:p w:rsidR="00A9136E" w:rsidRDefault="00A9136E" w:rsidP="00E91F43">
      <w:pPr>
        <w:autoSpaceDE w:val="0"/>
        <w:autoSpaceDN w:val="0"/>
        <w:adjustRightInd w:val="0"/>
        <w:spacing w:after="0" w:line="240" w:lineRule="auto"/>
        <w:jc w:val="both"/>
        <w:rPr>
          <w:rFonts w:cstheme="minorHAnsi"/>
          <w:b/>
          <w:bCs/>
        </w:rPr>
      </w:pPr>
    </w:p>
    <w:p w:rsidR="00850DDC" w:rsidRDefault="00A9136E" w:rsidP="00850DDC">
      <w:pPr>
        <w:autoSpaceDE w:val="0"/>
        <w:autoSpaceDN w:val="0"/>
        <w:adjustRightInd w:val="0"/>
        <w:spacing w:after="0" w:line="240" w:lineRule="auto"/>
        <w:rPr>
          <w:rFonts w:cstheme="minorHAnsi"/>
          <w:b/>
          <w:bCs/>
        </w:rPr>
      </w:pPr>
      <w:r w:rsidRPr="00A9136E">
        <w:rPr>
          <w:rFonts w:cstheme="minorHAnsi"/>
          <w:b/>
          <w:bCs/>
        </w:rPr>
        <w:t>A</w:t>
      </w:r>
      <w:r w:rsidR="00850DDC" w:rsidRPr="00A9136E">
        <w:rPr>
          <w:rFonts w:cstheme="minorHAnsi"/>
          <w:b/>
          <w:bCs/>
        </w:rPr>
        <w:t xml:space="preserve">6. </w:t>
      </w:r>
      <w:r w:rsidRPr="00A9136E">
        <w:rPr>
          <w:rFonts w:cstheme="minorHAnsi"/>
          <w:b/>
          <w:bCs/>
        </w:rPr>
        <w:tab/>
      </w:r>
      <w:r w:rsidR="00850DDC" w:rsidRPr="00A9136E">
        <w:rPr>
          <w:rFonts w:cstheme="minorHAnsi"/>
          <w:b/>
          <w:bCs/>
        </w:rPr>
        <w:t>Changes in Estimates</w:t>
      </w:r>
    </w:p>
    <w:p w:rsidR="00A9136E" w:rsidRDefault="00A9136E" w:rsidP="00850DDC">
      <w:pPr>
        <w:autoSpaceDE w:val="0"/>
        <w:autoSpaceDN w:val="0"/>
        <w:adjustRightInd w:val="0"/>
        <w:spacing w:after="0" w:line="240" w:lineRule="auto"/>
        <w:rPr>
          <w:rFonts w:cstheme="minorHAnsi"/>
          <w:b/>
          <w:bCs/>
        </w:rPr>
      </w:pPr>
    </w:p>
    <w:p w:rsidR="00A9136E" w:rsidRDefault="00A9136E" w:rsidP="00A9136E">
      <w:pPr>
        <w:autoSpaceDE w:val="0"/>
        <w:autoSpaceDN w:val="0"/>
        <w:adjustRightInd w:val="0"/>
        <w:spacing w:after="0" w:line="240" w:lineRule="auto"/>
        <w:ind w:left="720"/>
        <w:jc w:val="both"/>
        <w:rPr>
          <w:rFonts w:cstheme="minorHAnsi"/>
        </w:rPr>
      </w:pPr>
      <w:r w:rsidRPr="00A9136E">
        <w:rPr>
          <w:rFonts w:cstheme="minorHAnsi"/>
        </w:rPr>
        <w:t>There was no change in estimates of amounts reported in prior interim periods that had a material effect in the current reporting quarter.</w:t>
      </w:r>
    </w:p>
    <w:p w:rsidR="00A9136E" w:rsidRPr="00A9136E" w:rsidRDefault="00A9136E" w:rsidP="00A9136E">
      <w:pPr>
        <w:autoSpaceDE w:val="0"/>
        <w:autoSpaceDN w:val="0"/>
        <w:adjustRightInd w:val="0"/>
        <w:spacing w:after="0" w:line="240" w:lineRule="auto"/>
        <w:ind w:left="720"/>
        <w:jc w:val="both"/>
        <w:rPr>
          <w:rFonts w:cstheme="minorHAnsi"/>
          <w:b/>
          <w:bCs/>
        </w:rPr>
      </w:pPr>
    </w:p>
    <w:p w:rsidR="00850DDC" w:rsidRDefault="00A9136E" w:rsidP="00850DDC">
      <w:pPr>
        <w:autoSpaceDE w:val="0"/>
        <w:autoSpaceDN w:val="0"/>
        <w:adjustRightInd w:val="0"/>
        <w:spacing w:after="0" w:line="240" w:lineRule="auto"/>
        <w:rPr>
          <w:rFonts w:cstheme="minorHAnsi"/>
          <w:b/>
          <w:bCs/>
        </w:rPr>
      </w:pPr>
      <w:r w:rsidRPr="00A9136E">
        <w:rPr>
          <w:rFonts w:cstheme="minorHAnsi"/>
          <w:b/>
          <w:bCs/>
        </w:rPr>
        <w:t>A</w:t>
      </w:r>
      <w:r w:rsidR="00850DDC" w:rsidRPr="00A9136E">
        <w:rPr>
          <w:rFonts w:cstheme="minorHAnsi"/>
          <w:b/>
          <w:bCs/>
        </w:rPr>
        <w:t xml:space="preserve">7. </w:t>
      </w:r>
      <w:r w:rsidRPr="00A9136E">
        <w:rPr>
          <w:rFonts w:cstheme="minorHAnsi"/>
          <w:b/>
          <w:bCs/>
        </w:rPr>
        <w:tab/>
      </w:r>
      <w:r w:rsidR="00850DDC" w:rsidRPr="00A9136E">
        <w:rPr>
          <w:rFonts w:cstheme="minorHAnsi"/>
          <w:b/>
          <w:bCs/>
        </w:rPr>
        <w:t>Changes in Debt and Equity Securities</w:t>
      </w:r>
    </w:p>
    <w:p w:rsidR="00A9136E" w:rsidRDefault="00A9136E" w:rsidP="00850DDC">
      <w:pPr>
        <w:autoSpaceDE w:val="0"/>
        <w:autoSpaceDN w:val="0"/>
        <w:adjustRightInd w:val="0"/>
        <w:spacing w:after="0" w:line="240" w:lineRule="auto"/>
        <w:rPr>
          <w:rFonts w:cstheme="minorHAnsi"/>
          <w:b/>
          <w:bCs/>
        </w:rPr>
      </w:pPr>
    </w:p>
    <w:p w:rsidR="00A9136E" w:rsidRDefault="00253804" w:rsidP="001A5F27">
      <w:pPr>
        <w:autoSpaceDE w:val="0"/>
        <w:autoSpaceDN w:val="0"/>
        <w:adjustRightInd w:val="0"/>
        <w:spacing w:after="0" w:line="240" w:lineRule="auto"/>
        <w:ind w:left="720"/>
        <w:jc w:val="both"/>
        <w:rPr>
          <w:rFonts w:cstheme="minorHAnsi"/>
          <w:bCs/>
        </w:rPr>
      </w:pPr>
      <w:r>
        <w:rPr>
          <w:rFonts w:cstheme="minorHAnsi"/>
          <w:bCs/>
        </w:rPr>
        <w:t>Pursuant to the Proposed Restructuring Exercise, the Company issued 40 million new shares to investors at an issue price of RM0.25 per share during the quarter.</w:t>
      </w:r>
    </w:p>
    <w:p w:rsidR="00253804" w:rsidRDefault="00253804" w:rsidP="001A5F27">
      <w:pPr>
        <w:autoSpaceDE w:val="0"/>
        <w:autoSpaceDN w:val="0"/>
        <w:adjustRightInd w:val="0"/>
        <w:spacing w:after="0" w:line="240" w:lineRule="auto"/>
        <w:ind w:left="720"/>
        <w:jc w:val="both"/>
        <w:rPr>
          <w:rFonts w:cstheme="minorHAnsi"/>
          <w:bCs/>
        </w:rPr>
      </w:pPr>
    </w:p>
    <w:p w:rsidR="00253804" w:rsidRDefault="00253804" w:rsidP="001A5F27">
      <w:pPr>
        <w:autoSpaceDE w:val="0"/>
        <w:autoSpaceDN w:val="0"/>
        <w:adjustRightInd w:val="0"/>
        <w:spacing w:after="0" w:line="240" w:lineRule="auto"/>
        <w:ind w:left="720"/>
        <w:jc w:val="both"/>
        <w:rPr>
          <w:rFonts w:cstheme="minorHAnsi"/>
          <w:bCs/>
        </w:rPr>
      </w:pPr>
      <w:r>
        <w:rPr>
          <w:rFonts w:cstheme="minorHAnsi"/>
          <w:bCs/>
        </w:rPr>
        <w:t>The Group does not have any debt securities.</w:t>
      </w:r>
    </w:p>
    <w:p w:rsidR="00253804" w:rsidRDefault="00253804" w:rsidP="00253804">
      <w:pPr>
        <w:autoSpaceDE w:val="0"/>
        <w:autoSpaceDN w:val="0"/>
        <w:adjustRightInd w:val="0"/>
        <w:spacing w:after="0" w:line="240" w:lineRule="auto"/>
        <w:ind w:left="720"/>
        <w:rPr>
          <w:rFonts w:cstheme="minorHAnsi"/>
          <w:bCs/>
        </w:rPr>
      </w:pPr>
    </w:p>
    <w:p w:rsidR="00850DDC" w:rsidRPr="00253804" w:rsidRDefault="00253804" w:rsidP="00850DDC">
      <w:pPr>
        <w:autoSpaceDE w:val="0"/>
        <w:autoSpaceDN w:val="0"/>
        <w:adjustRightInd w:val="0"/>
        <w:spacing w:after="0" w:line="240" w:lineRule="auto"/>
        <w:rPr>
          <w:rFonts w:cstheme="minorHAnsi"/>
          <w:b/>
          <w:bCs/>
        </w:rPr>
      </w:pPr>
      <w:r w:rsidRPr="00253804">
        <w:rPr>
          <w:rFonts w:cstheme="minorHAnsi"/>
          <w:b/>
          <w:bCs/>
        </w:rPr>
        <w:t>A</w:t>
      </w:r>
      <w:r w:rsidR="00850DDC" w:rsidRPr="00253804">
        <w:rPr>
          <w:rFonts w:cstheme="minorHAnsi"/>
          <w:b/>
          <w:bCs/>
        </w:rPr>
        <w:t xml:space="preserve">8. </w:t>
      </w:r>
      <w:r w:rsidRPr="00253804">
        <w:rPr>
          <w:rFonts w:cstheme="minorHAnsi"/>
          <w:b/>
          <w:bCs/>
        </w:rPr>
        <w:tab/>
      </w:r>
      <w:r w:rsidR="00850DDC" w:rsidRPr="00253804">
        <w:rPr>
          <w:rFonts w:cstheme="minorHAnsi"/>
          <w:b/>
          <w:bCs/>
        </w:rPr>
        <w:t>Dividend Paid</w:t>
      </w:r>
    </w:p>
    <w:p w:rsidR="00253804" w:rsidRDefault="00253804" w:rsidP="00850DDC">
      <w:pPr>
        <w:autoSpaceDE w:val="0"/>
        <w:autoSpaceDN w:val="0"/>
        <w:adjustRightInd w:val="0"/>
        <w:spacing w:after="0" w:line="240" w:lineRule="auto"/>
        <w:rPr>
          <w:rFonts w:ascii="Times New Roman" w:hAnsi="Times New Roman" w:cs="Times New Roman"/>
          <w:b/>
          <w:bCs/>
          <w:sz w:val="18"/>
          <w:szCs w:val="18"/>
        </w:rPr>
      </w:pPr>
    </w:p>
    <w:p w:rsidR="00850DDC" w:rsidRDefault="00253804" w:rsidP="00253804">
      <w:pPr>
        <w:autoSpaceDE w:val="0"/>
        <w:autoSpaceDN w:val="0"/>
        <w:adjustRightInd w:val="0"/>
        <w:spacing w:after="0" w:line="240" w:lineRule="auto"/>
        <w:ind w:left="720"/>
        <w:rPr>
          <w:rFonts w:cstheme="minorHAnsi"/>
        </w:rPr>
      </w:pPr>
      <w:r w:rsidRPr="00253804">
        <w:rPr>
          <w:rFonts w:cstheme="minorHAnsi"/>
        </w:rPr>
        <w:t xml:space="preserve">No dividend was paid during the </w:t>
      </w:r>
      <w:r w:rsidR="00850DDC" w:rsidRPr="00253804">
        <w:rPr>
          <w:rFonts w:cstheme="minorHAnsi"/>
        </w:rPr>
        <w:t xml:space="preserve">quarter under review. </w:t>
      </w:r>
    </w:p>
    <w:p w:rsidR="004902A0" w:rsidRDefault="004902A0" w:rsidP="004902A0">
      <w:pPr>
        <w:autoSpaceDE w:val="0"/>
        <w:autoSpaceDN w:val="0"/>
        <w:adjustRightInd w:val="0"/>
        <w:spacing w:after="0" w:line="240" w:lineRule="auto"/>
        <w:rPr>
          <w:rFonts w:cstheme="minorHAnsi"/>
        </w:rPr>
      </w:pPr>
    </w:p>
    <w:p w:rsidR="004902A0" w:rsidRDefault="004902A0" w:rsidP="004902A0">
      <w:pPr>
        <w:autoSpaceDE w:val="0"/>
        <w:autoSpaceDN w:val="0"/>
        <w:adjustRightInd w:val="0"/>
        <w:spacing w:after="0" w:line="240" w:lineRule="auto"/>
        <w:rPr>
          <w:rFonts w:cstheme="minorHAnsi"/>
          <w:b/>
          <w:bCs/>
        </w:rPr>
      </w:pPr>
      <w:r w:rsidRPr="004902A0">
        <w:rPr>
          <w:rFonts w:cstheme="minorHAnsi"/>
          <w:b/>
          <w:bCs/>
        </w:rPr>
        <w:t xml:space="preserve">A9. </w:t>
      </w:r>
      <w:r w:rsidRPr="004902A0">
        <w:rPr>
          <w:rFonts w:cstheme="minorHAnsi"/>
          <w:b/>
          <w:bCs/>
        </w:rPr>
        <w:tab/>
        <w:t>Segmental Reporting</w:t>
      </w:r>
    </w:p>
    <w:p w:rsidR="004902A0" w:rsidRDefault="004902A0" w:rsidP="004902A0">
      <w:pPr>
        <w:autoSpaceDE w:val="0"/>
        <w:autoSpaceDN w:val="0"/>
        <w:adjustRightInd w:val="0"/>
        <w:spacing w:after="0" w:line="240" w:lineRule="auto"/>
        <w:rPr>
          <w:rFonts w:cstheme="minorHAnsi"/>
          <w:b/>
          <w:bCs/>
        </w:rPr>
      </w:pPr>
    </w:p>
    <w:p w:rsidR="004902A0" w:rsidRDefault="004902A0" w:rsidP="004902A0">
      <w:pPr>
        <w:autoSpaceDE w:val="0"/>
        <w:autoSpaceDN w:val="0"/>
        <w:adjustRightInd w:val="0"/>
        <w:spacing w:after="0" w:line="240" w:lineRule="auto"/>
        <w:ind w:left="720"/>
        <w:rPr>
          <w:rFonts w:cstheme="minorHAnsi"/>
          <w:bCs/>
        </w:rPr>
      </w:pPr>
      <w:r>
        <w:rPr>
          <w:rFonts w:cstheme="minorHAnsi"/>
          <w:bCs/>
        </w:rPr>
        <w:t>The Group’s segmental report for the current period ended 30 September 2012 is as follows:-</w:t>
      </w:r>
    </w:p>
    <w:p w:rsidR="004902A0" w:rsidRDefault="004902A0" w:rsidP="004902A0">
      <w:pPr>
        <w:autoSpaceDE w:val="0"/>
        <w:autoSpaceDN w:val="0"/>
        <w:adjustRightInd w:val="0"/>
        <w:spacing w:after="0" w:line="240" w:lineRule="auto"/>
        <w:rPr>
          <w:rFonts w:cstheme="minorHAnsi"/>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1256"/>
        <w:gridCol w:w="1388"/>
        <w:gridCol w:w="1598"/>
        <w:gridCol w:w="1258"/>
        <w:gridCol w:w="942"/>
      </w:tblGrid>
      <w:tr w:rsidR="004902A0" w:rsidRPr="00BC465E" w:rsidTr="000E7246">
        <w:tc>
          <w:tcPr>
            <w:tcW w:w="2306" w:type="dxa"/>
          </w:tcPr>
          <w:p w:rsidR="004902A0" w:rsidRPr="00BC465E" w:rsidRDefault="004902A0" w:rsidP="004902A0">
            <w:pPr>
              <w:autoSpaceDE w:val="0"/>
              <w:autoSpaceDN w:val="0"/>
              <w:adjustRightInd w:val="0"/>
              <w:jc w:val="center"/>
              <w:rPr>
                <w:rFonts w:cstheme="minorHAnsi"/>
                <w:b/>
                <w:bCs/>
              </w:rPr>
            </w:pPr>
          </w:p>
        </w:tc>
        <w:tc>
          <w:tcPr>
            <w:tcW w:w="1256"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Investment holding</w:t>
            </w:r>
          </w:p>
        </w:tc>
        <w:tc>
          <w:tcPr>
            <w:tcW w:w="1388"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Construction</w:t>
            </w:r>
          </w:p>
        </w:tc>
        <w:tc>
          <w:tcPr>
            <w:tcW w:w="1598" w:type="dxa"/>
          </w:tcPr>
          <w:p w:rsidR="004902A0" w:rsidRPr="00BC465E" w:rsidRDefault="004902A0" w:rsidP="00BC465E">
            <w:pPr>
              <w:autoSpaceDE w:val="0"/>
              <w:autoSpaceDN w:val="0"/>
              <w:adjustRightInd w:val="0"/>
              <w:jc w:val="right"/>
              <w:rPr>
                <w:rFonts w:cstheme="minorHAnsi"/>
                <w:b/>
                <w:bCs/>
              </w:rPr>
            </w:pPr>
            <w:r w:rsidRPr="00BC465E">
              <w:rPr>
                <w:rFonts w:cstheme="minorHAnsi"/>
                <w:b/>
                <w:bCs/>
              </w:rPr>
              <w:t>Manufacturing of polyurethane products</w:t>
            </w:r>
          </w:p>
        </w:tc>
        <w:tc>
          <w:tcPr>
            <w:tcW w:w="1258"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Elimination</w:t>
            </w:r>
          </w:p>
        </w:tc>
        <w:tc>
          <w:tcPr>
            <w:tcW w:w="942" w:type="dxa"/>
          </w:tcPr>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p>
          <w:p w:rsidR="004902A0" w:rsidRPr="00BC465E" w:rsidRDefault="004902A0" w:rsidP="00BC465E">
            <w:pPr>
              <w:autoSpaceDE w:val="0"/>
              <w:autoSpaceDN w:val="0"/>
              <w:adjustRightInd w:val="0"/>
              <w:jc w:val="right"/>
              <w:rPr>
                <w:rFonts w:cstheme="minorHAnsi"/>
                <w:b/>
                <w:bCs/>
              </w:rPr>
            </w:pPr>
            <w:r w:rsidRPr="00BC465E">
              <w:rPr>
                <w:rFonts w:cstheme="minorHAnsi"/>
                <w:b/>
                <w:bCs/>
              </w:rPr>
              <w:t>Total</w:t>
            </w:r>
          </w:p>
        </w:tc>
      </w:tr>
      <w:tr w:rsidR="004902A0" w:rsidTr="000E7246">
        <w:tc>
          <w:tcPr>
            <w:tcW w:w="2306" w:type="dxa"/>
          </w:tcPr>
          <w:p w:rsidR="004902A0" w:rsidRDefault="004902A0" w:rsidP="004902A0">
            <w:pPr>
              <w:autoSpaceDE w:val="0"/>
              <w:autoSpaceDN w:val="0"/>
              <w:adjustRightInd w:val="0"/>
              <w:jc w:val="center"/>
              <w:rPr>
                <w:rFonts w:cstheme="minorHAnsi"/>
                <w:bCs/>
              </w:rPr>
            </w:pPr>
          </w:p>
        </w:tc>
        <w:tc>
          <w:tcPr>
            <w:tcW w:w="1256"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38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59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1258" w:type="dxa"/>
          </w:tcPr>
          <w:p w:rsidR="004902A0" w:rsidRDefault="004902A0" w:rsidP="00BC465E">
            <w:pPr>
              <w:autoSpaceDE w:val="0"/>
              <w:autoSpaceDN w:val="0"/>
              <w:adjustRightInd w:val="0"/>
              <w:jc w:val="right"/>
              <w:rPr>
                <w:rFonts w:cstheme="minorHAnsi"/>
                <w:bCs/>
              </w:rPr>
            </w:pPr>
            <w:r>
              <w:rPr>
                <w:rFonts w:cstheme="minorHAnsi"/>
                <w:bCs/>
              </w:rPr>
              <w:t>RM’000</w:t>
            </w:r>
          </w:p>
        </w:tc>
        <w:tc>
          <w:tcPr>
            <w:tcW w:w="942" w:type="dxa"/>
          </w:tcPr>
          <w:p w:rsidR="004902A0" w:rsidRDefault="004902A0" w:rsidP="00BC465E">
            <w:pPr>
              <w:autoSpaceDE w:val="0"/>
              <w:autoSpaceDN w:val="0"/>
              <w:adjustRightInd w:val="0"/>
              <w:jc w:val="right"/>
              <w:rPr>
                <w:rFonts w:cstheme="minorHAnsi"/>
                <w:bCs/>
              </w:rPr>
            </w:pPr>
            <w:r>
              <w:rPr>
                <w:rFonts w:cstheme="minorHAnsi"/>
                <w:bCs/>
              </w:rPr>
              <w:t>RM’000</w:t>
            </w:r>
          </w:p>
        </w:tc>
      </w:tr>
      <w:tr w:rsidR="004902A0" w:rsidTr="000E7246">
        <w:tc>
          <w:tcPr>
            <w:tcW w:w="2306" w:type="dxa"/>
          </w:tcPr>
          <w:p w:rsidR="004902A0" w:rsidRPr="004902A0" w:rsidRDefault="004902A0" w:rsidP="000E7246">
            <w:pPr>
              <w:autoSpaceDE w:val="0"/>
              <w:autoSpaceDN w:val="0"/>
              <w:adjustRightInd w:val="0"/>
              <w:ind w:left="-108"/>
              <w:rPr>
                <w:rFonts w:cstheme="minorHAnsi"/>
                <w:b/>
                <w:bCs/>
              </w:rPr>
            </w:pPr>
            <w:r w:rsidRPr="004902A0">
              <w:rPr>
                <w:rFonts w:cstheme="minorHAnsi"/>
                <w:b/>
                <w:bCs/>
              </w:rPr>
              <w:t>Revenue</w:t>
            </w:r>
          </w:p>
        </w:tc>
        <w:tc>
          <w:tcPr>
            <w:tcW w:w="1256" w:type="dxa"/>
          </w:tcPr>
          <w:p w:rsidR="004902A0" w:rsidRDefault="004902A0" w:rsidP="00BC465E">
            <w:pPr>
              <w:autoSpaceDE w:val="0"/>
              <w:autoSpaceDN w:val="0"/>
              <w:adjustRightInd w:val="0"/>
              <w:jc w:val="right"/>
              <w:rPr>
                <w:rFonts w:cstheme="minorHAnsi"/>
                <w:bCs/>
              </w:rPr>
            </w:pPr>
          </w:p>
        </w:tc>
        <w:tc>
          <w:tcPr>
            <w:tcW w:w="1388" w:type="dxa"/>
          </w:tcPr>
          <w:p w:rsidR="004902A0" w:rsidRDefault="004902A0" w:rsidP="00BC465E">
            <w:pPr>
              <w:autoSpaceDE w:val="0"/>
              <w:autoSpaceDN w:val="0"/>
              <w:adjustRightInd w:val="0"/>
              <w:jc w:val="right"/>
              <w:rPr>
                <w:rFonts w:cstheme="minorHAnsi"/>
                <w:bCs/>
              </w:rPr>
            </w:pPr>
          </w:p>
        </w:tc>
        <w:tc>
          <w:tcPr>
            <w:tcW w:w="1598" w:type="dxa"/>
          </w:tcPr>
          <w:p w:rsidR="004902A0" w:rsidRDefault="004902A0" w:rsidP="00BC465E">
            <w:pPr>
              <w:autoSpaceDE w:val="0"/>
              <w:autoSpaceDN w:val="0"/>
              <w:adjustRightInd w:val="0"/>
              <w:jc w:val="right"/>
              <w:rPr>
                <w:rFonts w:cstheme="minorHAnsi"/>
                <w:bCs/>
              </w:rPr>
            </w:pPr>
          </w:p>
        </w:tc>
        <w:tc>
          <w:tcPr>
            <w:tcW w:w="1258" w:type="dxa"/>
          </w:tcPr>
          <w:p w:rsidR="004902A0" w:rsidRDefault="004902A0" w:rsidP="00BC465E">
            <w:pPr>
              <w:autoSpaceDE w:val="0"/>
              <w:autoSpaceDN w:val="0"/>
              <w:adjustRightInd w:val="0"/>
              <w:jc w:val="right"/>
              <w:rPr>
                <w:rFonts w:cstheme="minorHAnsi"/>
                <w:bCs/>
              </w:rPr>
            </w:pPr>
          </w:p>
        </w:tc>
        <w:tc>
          <w:tcPr>
            <w:tcW w:w="942" w:type="dxa"/>
          </w:tcPr>
          <w:p w:rsidR="004902A0" w:rsidRDefault="004902A0" w:rsidP="00BC465E">
            <w:pPr>
              <w:autoSpaceDE w:val="0"/>
              <w:autoSpaceDN w:val="0"/>
              <w:adjustRightInd w:val="0"/>
              <w:jc w:val="right"/>
              <w:rPr>
                <w:rFonts w:cstheme="minorHAnsi"/>
                <w:bCs/>
              </w:rPr>
            </w:pPr>
          </w:p>
        </w:tc>
      </w:tr>
      <w:tr w:rsidR="004902A0" w:rsidTr="000E7246">
        <w:tc>
          <w:tcPr>
            <w:tcW w:w="2306" w:type="dxa"/>
          </w:tcPr>
          <w:p w:rsidR="004902A0" w:rsidRDefault="004902A0" w:rsidP="000E7246">
            <w:pPr>
              <w:autoSpaceDE w:val="0"/>
              <w:autoSpaceDN w:val="0"/>
              <w:adjustRightInd w:val="0"/>
              <w:ind w:left="-108"/>
              <w:rPr>
                <w:rFonts w:cstheme="minorHAnsi"/>
                <w:bCs/>
              </w:rPr>
            </w:pPr>
            <w:r>
              <w:rPr>
                <w:rFonts w:cstheme="minorHAnsi"/>
                <w:bCs/>
              </w:rPr>
              <w:t>External sales</w:t>
            </w:r>
          </w:p>
        </w:tc>
        <w:tc>
          <w:tcPr>
            <w:tcW w:w="1256" w:type="dxa"/>
          </w:tcPr>
          <w:p w:rsidR="004902A0" w:rsidRDefault="00BC465E" w:rsidP="00BC465E">
            <w:pPr>
              <w:autoSpaceDE w:val="0"/>
              <w:autoSpaceDN w:val="0"/>
              <w:adjustRightInd w:val="0"/>
              <w:jc w:val="right"/>
              <w:rPr>
                <w:rFonts w:cstheme="minorHAnsi"/>
                <w:bCs/>
              </w:rPr>
            </w:pPr>
            <w:r>
              <w:rPr>
                <w:rFonts w:cstheme="minorHAnsi"/>
                <w:bCs/>
              </w:rPr>
              <w:t>-</w:t>
            </w:r>
          </w:p>
        </w:tc>
        <w:tc>
          <w:tcPr>
            <w:tcW w:w="1388" w:type="dxa"/>
          </w:tcPr>
          <w:p w:rsidR="004902A0" w:rsidRDefault="00BC465E" w:rsidP="00BC465E">
            <w:pPr>
              <w:autoSpaceDE w:val="0"/>
              <w:autoSpaceDN w:val="0"/>
              <w:adjustRightInd w:val="0"/>
              <w:jc w:val="right"/>
              <w:rPr>
                <w:rFonts w:cstheme="minorHAnsi"/>
                <w:bCs/>
              </w:rPr>
            </w:pPr>
            <w:r>
              <w:rPr>
                <w:rFonts w:cstheme="minorHAnsi"/>
                <w:bCs/>
              </w:rPr>
              <w:t>146,753</w:t>
            </w:r>
          </w:p>
        </w:tc>
        <w:tc>
          <w:tcPr>
            <w:tcW w:w="1598" w:type="dxa"/>
          </w:tcPr>
          <w:p w:rsidR="004902A0" w:rsidRDefault="00BC465E" w:rsidP="00BC465E">
            <w:pPr>
              <w:autoSpaceDE w:val="0"/>
              <w:autoSpaceDN w:val="0"/>
              <w:adjustRightInd w:val="0"/>
              <w:jc w:val="right"/>
              <w:rPr>
                <w:rFonts w:cstheme="minorHAnsi"/>
                <w:bCs/>
              </w:rPr>
            </w:pPr>
            <w:r>
              <w:rPr>
                <w:rFonts w:cstheme="minorHAnsi"/>
                <w:bCs/>
              </w:rPr>
              <w:t>10,917</w:t>
            </w:r>
          </w:p>
        </w:tc>
        <w:tc>
          <w:tcPr>
            <w:tcW w:w="1258" w:type="dxa"/>
          </w:tcPr>
          <w:p w:rsidR="004902A0" w:rsidRDefault="00BC465E" w:rsidP="00BC465E">
            <w:pPr>
              <w:autoSpaceDE w:val="0"/>
              <w:autoSpaceDN w:val="0"/>
              <w:adjustRightInd w:val="0"/>
              <w:jc w:val="right"/>
              <w:rPr>
                <w:rFonts w:cstheme="minorHAnsi"/>
                <w:bCs/>
              </w:rPr>
            </w:pPr>
            <w:r>
              <w:rPr>
                <w:rFonts w:cstheme="minorHAnsi"/>
                <w:bCs/>
              </w:rPr>
              <w:t>-</w:t>
            </w:r>
          </w:p>
        </w:tc>
        <w:tc>
          <w:tcPr>
            <w:tcW w:w="942" w:type="dxa"/>
          </w:tcPr>
          <w:p w:rsidR="004902A0" w:rsidRDefault="00BC465E" w:rsidP="00BC465E">
            <w:pPr>
              <w:autoSpaceDE w:val="0"/>
              <w:autoSpaceDN w:val="0"/>
              <w:adjustRightInd w:val="0"/>
              <w:jc w:val="right"/>
              <w:rPr>
                <w:rFonts w:cstheme="minorHAnsi"/>
                <w:bCs/>
              </w:rPr>
            </w:pPr>
            <w:r>
              <w:rPr>
                <w:rFonts w:cstheme="minorHAnsi"/>
                <w:bCs/>
              </w:rPr>
              <w:t>157,670</w:t>
            </w:r>
          </w:p>
        </w:tc>
      </w:tr>
      <w:tr w:rsidR="004902A0" w:rsidTr="000E7246">
        <w:tc>
          <w:tcPr>
            <w:tcW w:w="2306" w:type="dxa"/>
          </w:tcPr>
          <w:p w:rsidR="004902A0" w:rsidRDefault="004902A0" w:rsidP="000E7246">
            <w:pPr>
              <w:autoSpaceDE w:val="0"/>
              <w:autoSpaceDN w:val="0"/>
              <w:adjustRightInd w:val="0"/>
              <w:ind w:left="-108"/>
              <w:rPr>
                <w:rFonts w:cstheme="minorHAnsi"/>
                <w:bCs/>
              </w:rPr>
            </w:pPr>
            <w:r>
              <w:rPr>
                <w:rFonts w:cstheme="minorHAnsi"/>
                <w:bCs/>
              </w:rPr>
              <w:t>Inter-segment sales</w:t>
            </w:r>
          </w:p>
        </w:tc>
        <w:tc>
          <w:tcPr>
            <w:tcW w:w="1256"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4,884</w:t>
            </w:r>
          </w:p>
        </w:tc>
        <w:tc>
          <w:tcPr>
            <w:tcW w:w="1598"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w:t>
            </w:r>
          </w:p>
        </w:tc>
        <w:tc>
          <w:tcPr>
            <w:tcW w:w="1258"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(4,884)</w:t>
            </w:r>
          </w:p>
        </w:tc>
        <w:tc>
          <w:tcPr>
            <w:tcW w:w="942"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w:t>
            </w:r>
          </w:p>
        </w:tc>
      </w:tr>
      <w:tr w:rsidR="004902A0" w:rsidRPr="00BC465E" w:rsidTr="000E7246">
        <w:tc>
          <w:tcPr>
            <w:tcW w:w="2306" w:type="dxa"/>
          </w:tcPr>
          <w:p w:rsidR="004902A0" w:rsidRPr="00BC465E" w:rsidRDefault="004902A0" w:rsidP="000E7246">
            <w:pPr>
              <w:autoSpaceDE w:val="0"/>
              <w:autoSpaceDN w:val="0"/>
              <w:adjustRightInd w:val="0"/>
              <w:ind w:left="-108"/>
              <w:rPr>
                <w:rFonts w:cstheme="minorHAnsi"/>
                <w:b/>
                <w:bCs/>
              </w:rPr>
            </w:pPr>
            <w:r w:rsidRPr="00BC465E">
              <w:rPr>
                <w:rFonts w:cstheme="minorHAnsi"/>
                <w:b/>
                <w:bCs/>
              </w:rPr>
              <w:t>Total revenue</w:t>
            </w:r>
          </w:p>
        </w:tc>
        <w:tc>
          <w:tcPr>
            <w:tcW w:w="1256" w:type="dxa"/>
            <w:tcBorders>
              <w:top w:val="single" w:sz="4" w:space="0" w:color="auto"/>
              <w:bottom w:val="single" w:sz="4" w:space="0" w:color="auto"/>
            </w:tcBorders>
          </w:tcPr>
          <w:p w:rsidR="004902A0" w:rsidRPr="00BC465E" w:rsidRDefault="00BC465E" w:rsidP="00BC465E">
            <w:pPr>
              <w:autoSpaceDE w:val="0"/>
              <w:autoSpaceDN w:val="0"/>
              <w:adjustRightInd w:val="0"/>
              <w:jc w:val="right"/>
              <w:rPr>
                <w:rFonts w:cstheme="minorHAnsi"/>
                <w:b/>
                <w:bCs/>
              </w:rPr>
            </w:pPr>
            <w:r w:rsidRPr="00BC465E">
              <w:rPr>
                <w:rFonts w:cstheme="minorHAnsi"/>
                <w:b/>
                <w:bCs/>
              </w:rPr>
              <w:t>-</w:t>
            </w:r>
          </w:p>
        </w:tc>
        <w:tc>
          <w:tcPr>
            <w:tcW w:w="1388" w:type="dxa"/>
            <w:tcBorders>
              <w:top w:val="single" w:sz="4" w:space="0" w:color="auto"/>
              <w:bottom w:val="single" w:sz="4" w:space="0" w:color="auto"/>
            </w:tcBorders>
          </w:tcPr>
          <w:p w:rsidR="004902A0" w:rsidRPr="00BC465E" w:rsidRDefault="00BC465E" w:rsidP="00BC465E">
            <w:pPr>
              <w:autoSpaceDE w:val="0"/>
              <w:autoSpaceDN w:val="0"/>
              <w:adjustRightInd w:val="0"/>
              <w:jc w:val="right"/>
              <w:rPr>
                <w:rFonts w:cstheme="minorHAnsi"/>
                <w:b/>
                <w:bCs/>
              </w:rPr>
            </w:pPr>
            <w:r w:rsidRPr="00BC465E">
              <w:rPr>
                <w:rFonts w:cstheme="minorHAnsi"/>
                <w:b/>
                <w:bCs/>
              </w:rPr>
              <w:t>151,637</w:t>
            </w:r>
          </w:p>
        </w:tc>
        <w:tc>
          <w:tcPr>
            <w:tcW w:w="1598" w:type="dxa"/>
            <w:tcBorders>
              <w:top w:val="single" w:sz="4" w:space="0" w:color="auto"/>
              <w:bottom w:val="single" w:sz="4" w:space="0" w:color="auto"/>
            </w:tcBorders>
          </w:tcPr>
          <w:p w:rsidR="004902A0" w:rsidRPr="00BC465E" w:rsidRDefault="00BC465E" w:rsidP="00BC465E">
            <w:pPr>
              <w:autoSpaceDE w:val="0"/>
              <w:autoSpaceDN w:val="0"/>
              <w:adjustRightInd w:val="0"/>
              <w:jc w:val="right"/>
              <w:rPr>
                <w:rFonts w:cstheme="minorHAnsi"/>
                <w:b/>
                <w:bCs/>
              </w:rPr>
            </w:pPr>
            <w:r w:rsidRPr="00BC465E">
              <w:rPr>
                <w:rFonts w:cstheme="minorHAnsi"/>
                <w:b/>
                <w:bCs/>
              </w:rPr>
              <w:t>10,917</w:t>
            </w:r>
          </w:p>
        </w:tc>
        <w:tc>
          <w:tcPr>
            <w:tcW w:w="1258" w:type="dxa"/>
            <w:tcBorders>
              <w:top w:val="single" w:sz="4" w:space="0" w:color="auto"/>
              <w:bottom w:val="single" w:sz="4" w:space="0" w:color="auto"/>
            </w:tcBorders>
          </w:tcPr>
          <w:p w:rsidR="004902A0" w:rsidRPr="00BC465E" w:rsidRDefault="00BC465E" w:rsidP="00BC465E">
            <w:pPr>
              <w:autoSpaceDE w:val="0"/>
              <w:autoSpaceDN w:val="0"/>
              <w:adjustRightInd w:val="0"/>
              <w:jc w:val="right"/>
              <w:rPr>
                <w:rFonts w:cstheme="minorHAnsi"/>
                <w:b/>
                <w:bCs/>
              </w:rPr>
            </w:pPr>
            <w:r w:rsidRPr="00BC465E">
              <w:rPr>
                <w:rFonts w:cstheme="minorHAnsi"/>
                <w:b/>
                <w:bCs/>
              </w:rPr>
              <w:t>(4,884)</w:t>
            </w:r>
          </w:p>
        </w:tc>
        <w:tc>
          <w:tcPr>
            <w:tcW w:w="942" w:type="dxa"/>
            <w:tcBorders>
              <w:top w:val="single" w:sz="4" w:space="0" w:color="auto"/>
              <w:bottom w:val="single" w:sz="4" w:space="0" w:color="auto"/>
            </w:tcBorders>
          </w:tcPr>
          <w:p w:rsidR="004902A0" w:rsidRPr="00BC465E" w:rsidRDefault="00BC465E" w:rsidP="00BC465E">
            <w:pPr>
              <w:autoSpaceDE w:val="0"/>
              <w:autoSpaceDN w:val="0"/>
              <w:adjustRightInd w:val="0"/>
              <w:jc w:val="right"/>
              <w:rPr>
                <w:rFonts w:cstheme="minorHAnsi"/>
                <w:b/>
                <w:bCs/>
              </w:rPr>
            </w:pPr>
            <w:r w:rsidRPr="00BC465E">
              <w:rPr>
                <w:rFonts w:cstheme="minorHAnsi"/>
                <w:b/>
                <w:bCs/>
              </w:rPr>
              <w:t>157,670</w:t>
            </w:r>
          </w:p>
        </w:tc>
      </w:tr>
      <w:tr w:rsidR="004902A0" w:rsidTr="000E7246">
        <w:tc>
          <w:tcPr>
            <w:tcW w:w="2306" w:type="dxa"/>
          </w:tcPr>
          <w:p w:rsidR="004902A0" w:rsidRDefault="004902A0" w:rsidP="004902A0">
            <w:pPr>
              <w:autoSpaceDE w:val="0"/>
              <w:autoSpaceDN w:val="0"/>
              <w:adjustRightInd w:val="0"/>
              <w:rPr>
                <w:rFonts w:cstheme="minorHAnsi"/>
                <w:bCs/>
              </w:rPr>
            </w:pPr>
          </w:p>
        </w:tc>
        <w:tc>
          <w:tcPr>
            <w:tcW w:w="1256"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38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59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1258" w:type="dxa"/>
            <w:tcBorders>
              <w:top w:val="single" w:sz="4" w:space="0" w:color="auto"/>
            </w:tcBorders>
          </w:tcPr>
          <w:p w:rsidR="004902A0" w:rsidRDefault="004902A0" w:rsidP="00BC465E">
            <w:pPr>
              <w:autoSpaceDE w:val="0"/>
              <w:autoSpaceDN w:val="0"/>
              <w:adjustRightInd w:val="0"/>
              <w:jc w:val="right"/>
              <w:rPr>
                <w:rFonts w:cstheme="minorHAnsi"/>
                <w:bCs/>
              </w:rPr>
            </w:pPr>
          </w:p>
        </w:tc>
        <w:tc>
          <w:tcPr>
            <w:tcW w:w="942" w:type="dxa"/>
            <w:tcBorders>
              <w:top w:val="single" w:sz="4" w:space="0" w:color="auto"/>
            </w:tcBorders>
          </w:tcPr>
          <w:p w:rsidR="004902A0" w:rsidRDefault="004902A0" w:rsidP="00BC465E">
            <w:pPr>
              <w:autoSpaceDE w:val="0"/>
              <w:autoSpaceDN w:val="0"/>
              <w:adjustRightInd w:val="0"/>
              <w:jc w:val="right"/>
              <w:rPr>
                <w:rFonts w:cstheme="minorHAnsi"/>
                <w:bCs/>
              </w:rPr>
            </w:pPr>
          </w:p>
        </w:tc>
      </w:tr>
      <w:tr w:rsidR="004902A0" w:rsidTr="000E7246">
        <w:tc>
          <w:tcPr>
            <w:tcW w:w="2306" w:type="dxa"/>
          </w:tcPr>
          <w:p w:rsidR="004902A0" w:rsidRPr="004902A0" w:rsidRDefault="004902A0" w:rsidP="000E7246">
            <w:pPr>
              <w:autoSpaceDE w:val="0"/>
              <w:autoSpaceDN w:val="0"/>
              <w:adjustRightInd w:val="0"/>
              <w:ind w:left="-108"/>
              <w:rPr>
                <w:rFonts w:cstheme="minorHAnsi"/>
                <w:b/>
                <w:bCs/>
              </w:rPr>
            </w:pPr>
            <w:r w:rsidRPr="004902A0">
              <w:rPr>
                <w:rFonts w:cstheme="minorHAnsi"/>
                <w:b/>
                <w:bCs/>
              </w:rPr>
              <w:t>Results</w:t>
            </w:r>
          </w:p>
        </w:tc>
        <w:tc>
          <w:tcPr>
            <w:tcW w:w="1256" w:type="dxa"/>
          </w:tcPr>
          <w:p w:rsidR="004902A0" w:rsidRDefault="004902A0" w:rsidP="00BC465E">
            <w:pPr>
              <w:autoSpaceDE w:val="0"/>
              <w:autoSpaceDN w:val="0"/>
              <w:adjustRightInd w:val="0"/>
              <w:jc w:val="right"/>
              <w:rPr>
                <w:rFonts w:cstheme="minorHAnsi"/>
                <w:bCs/>
              </w:rPr>
            </w:pPr>
          </w:p>
        </w:tc>
        <w:tc>
          <w:tcPr>
            <w:tcW w:w="1388" w:type="dxa"/>
          </w:tcPr>
          <w:p w:rsidR="004902A0" w:rsidRDefault="004902A0" w:rsidP="00BC465E">
            <w:pPr>
              <w:autoSpaceDE w:val="0"/>
              <w:autoSpaceDN w:val="0"/>
              <w:adjustRightInd w:val="0"/>
              <w:jc w:val="right"/>
              <w:rPr>
                <w:rFonts w:cstheme="minorHAnsi"/>
                <w:bCs/>
              </w:rPr>
            </w:pPr>
          </w:p>
        </w:tc>
        <w:tc>
          <w:tcPr>
            <w:tcW w:w="1598" w:type="dxa"/>
          </w:tcPr>
          <w:p w:rsidR="004902A0" w:rsidRDefault="004902A0" w:rsidP="00BC465E">
            <w:pPr>
              <w:autoSpaceDE w:val="0"/>
              <w:autoSpaceDN w:val="0"/>
              <w:adjustRightInd w:val="0"/>
              <w:jc w:val="right"/>
              <w:rPr>
                <w:rFonts w:cstheme="minorHAnsi"/>
                <w:bCs/>
              </w:rPr>
            </w:pPr>
          </w:p>
        </w:tc>
        <w:tc>
          <w:tcPr>
            <w:tcW w:w="1258" w:type="dxa"/>
          </w:tcPr>
          <w:p w:rsidR="004902A0" w:rsidRDefault="004902A0" w:rsidP="00BC465E">
            <w:pPr>
              <w:autoSpaceDE w:val="0"/>
              <w:autoSpaceDN w:val="0"/>
              <w:adjustRightInd w:val="0"/>
              <w:jc w:val="right"/>
              <w:rPr>
                <w:rFonts w:cstheme="minorHAnsi"/>
                <w:bCs/>
              </w:rPr>
            </w:pPr>
          </w:p>
        </w:tc>
        <w:tc>
          <w:tcPr>
            <w:tcW w:w="942" w:type="dxa"/>
          </w:tcPr>
          <w:p w:rsidR="004902A0" w:rsidRDefault="004902A0" w:rsidP="00BC465E">
            <w:pPr>
              <w:autoSpaceDE w:val="0"/>
              <w:autoSpaceDN w:val="0"/>
              <w:adjustRightInd w:val="0"/>
              <w:jc w:val="right"/>
              <w:rPr>
                <w:rFonts w:cstheme="minorHAnsi"/>
                <w:bCs/>
              </w:rPr>
            </w:pPr>
          </w:p>
        </w:tc>
      </w:tr>
      <w:tr w:rsidR="004902A0" w:rsidTr="000E7246">
        <w:tc>
          <w:tcPr>
            <w:tcW w:w="2306" w:type="dxa"/>
          </w:tcPr>
          <w:p w:rsidR="004902A0" w:rsidRDefault="00BC465E" w:rsidP="000E7246">
            <w:pPr>
              <w:autoSpaceDE w:val="0"/>
              <w:autoSpaceDN w:val="0"/>
              <w:adjustRightInd w:val="0"/>
              <w:ind w:left="-108"/>
              <w:rPr>
                <w:rFonts w:cstheme="minorHAnsi"/>
                <w:bCs/>
              </w:rPr>
            </w:pPr>
            <w:r>
              <w:rPr>
                <w:rFonts w:cstheme="minorHAnsi"/>
                <w:bCs/>
              </w:rPr>
              <w:t>(Loss)/Profit from operations</w:t>
            </w:r>
          </w:p>
        </w:tc>
        <w:tc>
          <w:tcPr>
            <w:tcW w:w="1256" w:type="dxa"/>
          </w:tcPr>
          <w:p w:rsidR="00D23DEB" w:rsidRDefault="00D23DEB" w:rsidP="00BC465E">
            <w:pPr>
              <w:autoSpaceDE w:val="0"/>
              <w:autoSpaceDN w:val="0"/>
              <w:adjustRightInd w:val="0"/>
              <w:jc w:val="right"/>
              <w:rPr>
                <w:rFonts w:cstheme="minorHAnsi"/>
                <w:bCs/>
              </w:rPr>
            </w:pPr>
          </w:p>
          <w:p w:rsidR="004902A0" w:rsidRDefault="00704C77" w:rsidP="00BC465E">
            <w:pPr>
              <w:autoSpaceDE w:val="0"/>
              <w:autoSpaceDN w:val="0"/>
              <w:adjustRightInd w:val="0"/>
              <w:jc w:val="right"/>
              <w:rPr>
                <w:rFonts w:cstheme="minorHAnsi"/>
                <w:bCs/>
              </w:rPr>
            </w:pPr>
            <w:r>
              <w:rPr>
                <w:rFonts w:cstheme="minorHAnsi"/>
                <w:bCs/>
              </w:rPr>
              <w:t>(3,102)</w:t>
            </w:r>
          </w:p>
        </w:tc>
        <w:tc>
          <w:tcPr>
            <w:tcW w:w="1388" w:type="dxa"/>
          </w:tcPr>
          <w:p w:rsidR="00D23DEB" w:rsidRDefault="00D23DEB" w:rsidP="00BC465E">
            <w:pPr>
              <w:autoSpaceDE w:val="0"/>
              <w:autoSpaceDN w:val="0"/>
              <w:adjustRightInd w:val="0"/>
              <w:jc w:val="right"/>
              <w:rPr>
                <w:rFonts w:cstheme="minorHAnsi"/>
                <w:bCs/>
              </w:rPr>
            </w:pPr>
          </w:p>
          <w:p w:rsidR="004902A0" w:rsidRDefault="000E7246" w:rsidP="00BC465E">
            <w:pPr>
              <w:autoSpaceDE w:val="0"/>
              <w:autoSpaceDN w:val="0"/>
              <w:adjustRightInd w:val="0"/>
              <w:jc w:val="right"/>
              <w:rPr>
                <w:rFonts w:cstheme="minorHAnsi"/>
                <w:bCs/>
              </w:rPr>
            </w:pPr>
            <w:r>
              <w:rPr>
                <w:rFonts w:cstheme="minorHAnsi"/>
                <w:bCs/>
              </w:rPr>
              <w:t>16,682</w:t>
            </w:r>
          </w:p>
        </w:tc>
        <w:tc>
          <w:tcPr>
            <w:tcW w:w="1598" w:type="dxa"/>
          </w:tcPr>
          <w:p w:rsidR="00D23DEB" w:rsidRDefault="00D23DEB" w:rsidP="00BC465E">
            <w:pPr>
              <w:autoSpaceDE w:val="0"/>
              <w:autoSpaceDN w:val="0"/>
              <w:adjustRightInd w:val="0"/>
              <w:jc w:val="right"/>
              <w:rPr>
                <w:rFonts w:cstheme="minorHAnsi"/>
                <w:bCs/>
              </w:rPr>
            </w:pPr>
          </w:p>
          <w:p w:rsidR="004902A0" w:rsidRDefault="00BC465E" w:rsidP="00BC465E">
            <w:pPr>
              <w:autoSpaceDE w:val="0"/>
              <w:autoSpaceDN w:val="0"/>
              <w:adjustRightInd w:val="0"/>
              <w:jc w:val="right"/>
              <w:rPr>
                <w:rFonts w:cstheme="minorHAnsi"/>
                <w:bCs/>
              </w:rPr>
            </w:pPr>
            <w:r>
              <w:rPr>
                <w:rFonts w:cstheme="minorHAnsi"/>
                <w:bCs/>
              </w:rPr>
              <w:t>700</w:t>
            </w:r>
          </w:p>
        </w:tc>
        <w:tc>
          <w:tcPr>
            <w:tcW w:w="1258" w:type="dxa"/>
          </w:tcPr>
          <w:p w:rsidR="00D23DEB" w:rsidRDefault="00D23DEB" w:rsidP="00BC465E">
            <w:pPr>
              <w:autoSpaceDE w:val="0"/>
              <w:autoSpaceDN w:val="0"/>
              <w:adjustRightInd w:val="0"/>
              <w:jc w:val="right"/>
              <w:rPr>
                <w:rFonts w:cstheme="minorHAnsi"/>
                <w:bCs/>
              </w:rPr>
            </w:pPr>
          </w:p>
          <w:p w:rsidR="004902A0" w:rsidRDefault="000E7246" w:rsidP="00BC465E">
            <w:pPr>
              <w:autoSpaceDE w:val="0"/>
              <w:autoSpaceDN w:val="0"/>
              <w:adjustRightInd w:val="0"/>
              <w:jc w:val="right"/>
              <w:rPr>
                <w:rFonts w:cstheme="minorHAnsi"/>
                <w:bCs/>
              </w:rPr>
            </w:pPr>
            <w:r>
              <w:rPr>
                <w:rFonts w:cstheme="minorHAnsi"/>
                <w:bCs/>
              </w:rPr>
              <w:t>-</w:t>
            </w:r>
          </w:p>
        </w:tc>
        <w:tc>
          <w:tcPr>
            <w:tcW w:w="942" w:type="dxa"/>
          </w:tcPr>
          <w:p w:rsidR="00D23DEB" w:rsidRDefault="00D23DEB" w:rsidP="00BC465E">
            <w:pPr>
              <w:autoSpaceDE w:val="0"/>
              <w:autoSpaceDN w:val="0"/>
              <w:adjustRightInd w:val="0"/>
              <w:jc w:val="right"/>
              <w:rPr>
                <w:rFonts w:cstheme="minorHAnsi"/>
                <w:bCs/>
              </w:rPr>
            </w:pPr>
          </w:p>
          <w:p w:rsidR="004902A0" w:rsidRDefault="000E7246" w:rsidP="00BC465E">
            <w:pPr>
              <w:autoSpaceDE w:val="0"/>
              <w:autoSpaceDN w:val="0"/>
              <w:adjustRightInd w:val="0"/>
              <w:jc w:val="right"/>
              <w:rPr>
                <w:rFonts w:cstheme="minorHAnsi"/>
                <w:bCs/>
              </w:rPr>
            </w:pPr>
            <w:r>
              <w:rPr>
                <w:rFonts w:cstheme="minorHAnsi"/>
                <w:bCs/>
              </w:rPr>
              <w:t>14,280</w:t>
            </w:r>
          </w:p>
        </w:tc>
      </w:tr>
      <w:tr w:rsidR="004902A0" w:rsidTr="000E7246">
        <w:tc>
          <w:tcPr>
            <w:tcW w:w="2306" w:type="dxa"/>
          </w:tcPr>
          <w:p w:rsidR="004902A0" w:rsidRDefault="00BC465E" w:rsidP="000E7246">
            <w:pPr>
              <w:autoSpaceDE w:val="0"/>
              <w:autoSpaceDN w:val="0"/>
              <w:adjustRightInd w:val="0"/>
              <w:ind w:left="-108"/>
              <w:rPr>
                <w:rFonts w:cstheme="minorHAnsi"/>
                <w:bCs/>
              </w:rPr>
            </w:pPr>
            <w:r>
              <w:rPr>
                <w:rFonts w:cstheme="minorHAnsi"/>
                <w:bCs/>
              </w:rPr>
              <w:t>Finance costs</w:t>
            </w:r>
          </w:p>
        </w:tc>
        <w:tc>
          <w:tcPr>
            <w:tcW w:w="1256" w:type="dxa"/>
            <w:tcBorders>
              <w:bottom w:val="single" w:sz="4" w:space="0" w:color="auto"/>
            </w:tcBorders>
          </w:tcPr>
          <w:p w:rsidR="004902A0" w:rsidRDefault="00704C77"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4902A0" w:rsidRDefault="00B97E00" w:rsidP="00BC465E">
            <w:pPr>
              <w:autoSpaceDE w:val="0"/>
              <w:autoSpaceDN w:val="0"/>
              <w:adjustRightInd w:val="0"/>
              <w:jc w:val="right"/>
              <w:rPr>
                <w:rFonts w:cstheme="minorHAnsi"/>
                <w:bCs/>
              </w:rPr>
            </w:pPr>
            <w:r>
              <w:rPr>
                <w:rFonts w:cstheme="minorHAnsi"/>
                <w:bCs/>
              </w:rPr>
              <w:t>(14</w:t>
            </w:r>
            <w:r w:rsidR="000E7246">
              <w:rPr>
                <w:rFonts w:cstheme="minorHAnsi"/>
                <w:bCs/>
              </w:rPr>
              <w:t>)</w:t>
            </w:r>
          </w:p>
        </w:tc>
        <w:tc>
          <w:tcPr>
            <w:tcW w:w="1598" w:type="dxa"/>
            <w:tcBorders>
              <w:bottom w:val="single" w:sz="4" w:space="0" w:color="auto"/>
            </w:tcBorders>
          </w:tcPr>
          <w:p w:rsidR="004902A0" w:rsidRDefault="00BC465E" w:rsidP="00BC465E">
            <w:pPr>
              <w:autoSpaceDE w:val="0"/>
              <w:autoSpaceDN w:val="0"/>
              <w:adjustRightInd w:val="0"/>
              <w:jc w:val="right"/>
              <w:rPr>
                <w:rFonts w:cstheme="minorHAnsi"/>
                <w:bCs/>
              </w:rPr>
            </w:pPr>
            <w:r>
              <w:rPr>
                <w:rFonts w:cstheme="minorHAnsi"/>
                <w:bCs/>
              </w:rPr>
              <w:t>(71)</w:t>
            </w:r>
          </w:p>
        </w:tc>
        <w:tc>
          <w:tcPr>
            <w:tcW w:w="1258" w:type="dxa"/>
            <w:tcBorders>
              <w:bottom w:val="single" w:sz="4" w:space="0" w:color="auto"/>
            </w:tcBorders>
          </w:tcPr>
          <w:p w:rsidR="004902A0" w:rsidRDefault="000E7246" w:rsidP="00BC465E">
            <w:pPr>
              <w:autoSpaceDE w:val="0"/>
              <w:autoSpaceDN w:val="0"/>
              <w:adjustRightInd w:val="0"/>
              <w:jc w:val="right"/>
              <w:rPr>
                <w:rFonts w:cstheme="minorHAnsi"/>
                <w:bCs/>
              </w:rPr>
            </w:pPr>
            <w:r>
              <w:rPr>
                <w:rFonts w:cstheme="minorHAnsi"/>
                <w:bCs/>
              </w:rPr>
              <w:t>-</w:t>
            </w:r>
          </w:p>
        </w:tc>
        <w:tc>
          <w:tcPr>
            <w:tcW w:w="942" w:type="dxa"/>
            <w:tcBorders>
              <w:bottom w:val="single" w:sz="4" w:space="0" w:color="auto"/>
            </w:tcBorders>
          </w:tcPr>
          <w:p w:rsidR="004902A0" w:rsidRDefault="00B97E00" w:rsidP="00BC465E">
            <w:pPr>
              <w:autoSpaceDE w:val="0"/>
              <w:autoSpaceDN w:val="0"/>
              <w:adjustRightInd w:val="0"/>
              <w:jc w:val="right"/>
              <w:rPr>
                <w:rFonts w:cstheme="minorHAnsi"/>
                <w:bCs/>
              </w:rPr>
            </w:pPr>
            <w:r>
              <w:rPr>
                <w:rFonts w:cstheme="minorHAnsi"/>
                <w:bCs/>
              </w:rPr>
              <w:t>(85</w:t>
            </w:r>
            <w:r w:rsidR="000E7246">
              <w:rPr>
                <w:rFonts w:cstheme="minorHAnsi"/>
                <w:bCs/>
              </w:rPr>
              <w:t>)</w:t>
            </w:r>
          </w:p>
        </w:tc>
      </w:tr>
      <w:tr w:rsidR="004902A0" w:rsidTr="000E7246">
        <w:tc>
          <w:tcPr>
            <w:tcW w:w="2306" w:type="dxa"/>
          </w:tcPr>
          <w:p w:rsidR="004902A0" w:rsidRDefault="00BC465E" w:rsidP="000E7246">
            <w:pPr>
              <w:autoSpaceDE w:val="0"/>
              <w:autoSpaceDN w:val="0"/>
              <w:adjustRightInd w:val="0"/>
              <w:ind w:left="-108"/>
              <w:rPr>
                <w:rFonts w:cstheme="minorHAnsi"/>
                <w:bCs/>
              </w:rPr>
            </w:pPr>
            <w:r>
              <w:rPr>
                <w:rFonts w:cstheme="minorHAnsi"/>
                <w:bCs/>
              </w:rPr>
              <w:t>(Loss)/Profit before tax</w:t>
            </w:r>
          </w:p>
        </w:tc>
        <w:tc>
          <w:tcPr>
            <w:tcW w:w="1256" w:type="dxa"/>
            <w:tcBorders>
              <w:top w:val="single" w:sz="4" w:space="0" w:color="auto"/>
            </w:tcBorders>
          </w:tcPr>
          <w:p w:rsidR="004902A0" w:rsidRDefault="00704C77" w:rsidP="00BC465E">
            <w:pPr>
              <w:autoSpaceDE w:val="0"/>
              <w:autoSpaceDN w:val="0"/>
              <w:adjustRightInd w:val="0"/>
              <w:jc w:val="right"/>
              <w:rPr>
                <w:rFonts w:cstheme="minorHAnsi"/>
                <w:bCs/>
              </w:rPr>
            </w:pPr>
            <w:r>
              <w:rPr>
                <w:rFonts w:cstheme="minorHAnsi"/>
                <w:bCs/>
              </w:rPr>
              <w:t>(3,102)</w:t>
            </w:r>
          </w:p>
        </w:tc>
        <w:tc>
          <w:tcPr>
            <w:tcW w:w="1388" w:type="dxa"/>
            <w:tcBorders>
              <w:top w:val="single" w:sz="4" w:space="0" w:color="auto"/>
            </w:tcBorders>
          </w:tcPr>
          <w:p w:rsidR="004902A0" w:rsidRDefault="000E7246" w:rsidP="00B97E00">
            <w:pPr>
              <w:autoSpaceDE w:val="0"/>
              <w:autoSpaceDN w:val="0"/>
              <w:adjustRightInd w:val="0"/>
              <w:jc w:val="right"/>
              <w:rPr>
                <w:rFonts w:cstheme="minorHAnsi"/>
                <w:bCs/>
              </w:rPr>
            </w:pPr>
            <w:r>
              <w:rPr>
                <w:rFonts w:cstheme="minorHAnsi"/>
                <w:bCs/>
              </w:rPr>
              <w:t>16,66</w:t>
            </w:r>
            <w:r w:rsidR="00B97E00">
              <w:rPr>
                <w:rFonts w:cstheme="minorHAnsi"/>
                <w:bCs/>
              </w:rPr>
              <w:t>8</w:t>
            </w:r>
          </w:p>
        </w:tc>
        <w:tc>
          <w:tcPr>
            <w:tcW w:w="1598" w:type="dxa"/>
            <w:tcBorders>
              <w:top w:val="single" w:sz="4" w:space="0" w:color="auto"/>
            </w:tcBorders>
          </w:tcPr>
          <w:p w:rsidR="004902A0" w:rsidRDefault="00704C77" w:rsidP="00BC465E">
            <w:pPr>
              <w:autoSpaceDE w:val="0"/>
              <w:autoSpaceDN w:val="0"/>
              <w:adjustRightInd w:val="0"/>
              <w:jc w:val="right"/>
              <w:rPr>
                <w:rFonts w:cstheme="minorHAnsi"/>
                <w:bCs/>
              </w:rPr>
            </w:pPr>
            <w:r>
              <w:rPr>
                <w:rFonts w:cstheme="minorHAnsi"/>
                <w:bCs/>
              </w:rPr>
              <w:t>629</w:t>
            </w:r>
          </w:p>
        </w:tc>
        <w:tc>
          <w:tcPr>
            <w:tcW w:w="1258" w:type="dxa"/>
            <w:tcBorders>
              <w:top w:val="single" w:sz="4" w:space="0" w:color="auto"/>
            </w:tcBorders>
          </w:tcPr>
          <w:p w:rsidR="004902A0" w:rsidRDefault="000E7246" w:rsidP="00BC465E">
            <w:pPr>
              <w:autoSpaceDE w:val="0"/>
              <w:autoSpaceDN w:val="0"/>
              <w:adjustRightInd w:val="0"/>
              <w:jc w:val="right"/>
              <w:rPr>
                <w:rFonts w:cstheme="minorHAnsi"/>
                <w:bCs/>
              </w:rPr>
            </w:pPr>
            <w:r>
              <w:rPr>
                <w:rFonts w:cstheme="minorHAnsi"/>
                <w:bCs/>
              </w:rPr>
              <w:t>-</w:t>
            </w:r>
          </w:p>
        </w:tc>
        <w:tc>
          <w:tcPr>
            <w:tcW w:w="942" w:type="dxa"/>
            <w:tcBorders>
              <w:top w:val="single" w:sz="4" w:space="0" w:color="auto"/>
            </w:tcBorders>
          </w:tcPr>
          <w:p w:rsidR="004902A0" w:rsidRDefault="00B97E00" w:rsidP="00BC465E">
            <w:pPr>
              <w:autoSpaceDE w:val="0"/>
              <w:autoSpaceDN w:val="0"/>
              <w:adjustRightInd w:val="0"/>
              <w:jc w:val="right"/>
              <w:rPr>
                <w:rFonts w:cstheme="minorHAnsi"/>
                <w:bCs/>
              </w:rPr>
            </w:pPr>
            <w:r>
              <w:rPr>
                <w:rFonts w:cstheme="minorHAnsi"/>
                <w:bCs/>
              </w:rPr>
              <w:t>14,195</w:t>
            </w:r>
          </w:p>
        </w:tc>
      </w:tr>
      <w:tr w:rsidR="00BC465E" w:rsidTr="000E7246">
        <w:tc>
          <w:tcPr>
            <w:tcW w:w="2306" w:type="dxa"/>
          </w:tcPr>
          <w:p w:rsidR="00BC465E" w:rsidRDefault="00BC465E" w:rsidP="000E7246">
            <w:pPr>
              <w:autoSpaceDE w:val="0"/>
              <w:autoSpaceDN w:val="0"/>
              <w:adjustRightInd w:val="0"/>
              <w:ind w:left="-108"/>
              <w:rPr>
                <w:rFonts w:cstheme="minorHAnsi"/>
                <w:bCs/>
              </w:rPr>
            </w:pPr>
            <w:r>
              <w:rPr>
                <w:rFonts w:cstheme="minorHAnsi"/>
                <w:bCs/>
              </w:rPr>
              <w:t>Income tax expense</w:t>
            </w:r>
          </w:p>
        </w:tc>
        <w:tc>
          <w:tcPr>
            <w:tcW w:w="1256" w:type="dxa"/>
            <w:tcBorders>
              <w:bottom w:val="single" w:sz="4" w:space="0" w:color="auto"/>
            </w:tcBorders>
          </w:tcPr>
          <w:p w:rsidR="00BC465E" w:rsidRDefault="00704C77" w:rsidP="00BC465E">
            <w:pPr>
              <w:autoSpaceDE w:val="0"/>
              <w:autoSpaceDN w:val="0"/>
              <w:adjustRightInd w:val="0"/>
              <w:jc w:val="right"/>
              <w:rPr>
                <w:rFonts w:cstheme="minorHAnsi"/>
                <w:bCs/>
              </w:rPr>
            </w:pPr>
            <w:r>
              <w:rPr>
                <w:rFonts w:cstheme="minorHAnsi"/>
                <w:bCs/>
              </w:rPr>
              <w:t>-</w:t>
            </w:r>
          </w:p>
        </w:tc>
        <w:tc>
          <w:tcPr>
            <w:tcW w:w="1388" w:type="dxa"/>
            <w:tcBorders>
              <w:bottom w:val="single" w:sz="4" w:space="0" w:color="auto"/>
            </w:tcBorders>
          </w:tcPr>
          <w:p w:rsidR="00BC465E" w:rsidRDefault="00B97E00" w:rsidP="00BC465E">
            <w:pPr>
              <w:autoSpaceDE w:val="0"/>
              <w:autoSpaceDN w:val="0"/>
              <w:adjustRightInd w:val="0"/>
              <w:jc w:val="right"/>
              <w:rPr>
                <w:rFonts w:cstheme="minorHAnsi"/>
                <w:bCs/>
              </w:rPr>
            </w:pPr>
            <w:r>
              <w:rPr>
                <w:rFonts w:cstheme="minorHAnsi"/>
                <w:bCs/>
              </w:rPr>
              <w:t>(4,459</w:t>
            </w:r>
            <w:r w:rsidR="00704C77">
              <w:rPr>
                <w:rFonts w:cstheme="minorHAnsi"/>
                <w:bCs/>
              </w:rPr>
              <w:t>)</w:t>
            </w:r>
          </w:p>
        </w:tc>
        <w:tc>
          <w:tcPr>
            <w:tcW w:w="1598" w:type="dxa"/>
            <w:tcBorders>
              <w:bottom w:val="single" w:sz="4" w:space="0" w:color="auto"/>
            </w:tcBorders>
          </w:tcPr>
          <w:p w:rsidR="00BC465E" w:rsidRDefault="00704C77" w:rsidP="00BC465E">
            <w:pPr>
              <w:autoSpaceDE w:val="0"/>
              <w:autoSpaceDN w:val="0"/>
              <w:adjustRightInd w:val="0"/>
              <w:jc w:val="right"/>
              <w:rPr>
                <w:rFonts w:cstheme="minorHAnsi"/>
                <w:bCs/>
              </w:rPr>
            </w:pPr>
            <w:r>
              <w:rPr>
                <w:rFonts w:cstheme="minorHAnsi"/>
                <w:bCs/>
              </w:rPr>
              <w:t>205</w:t>
            </w:r>
          </w:p>
        </w:tc>
        <w:tc>
          <w:tcPr>
            <w:tcW w:w="1258" w:type="dxa"/>
            <w:tcBorders>
              <w:bottom w:val="single" w:sz="4" w:space="0" w:color="auto"/>
            </w:tcBorders>
          </w:tcPr>
          <w:p w:rsidR="00BC465E" w:rsidRDefault="000E7246" w:rsidP="00BC465E">
            <w:pPr>
              <w:autoSpaceDE w:val="0"/>
              <w:autoSpaceDN w:val="0"/>
              <w:adjustRightInd w:val="0"/>
              <w:jc w:val="right"/>
              <w:rPr>
                <w:rFonts w:cstheme="minorHAnsi"/>
                <w:bCs/>
              </w:rPr>
            </w:pPr>
            <w:r>
              <w:rPr>
                <w:rFonts w:cstheme="minorHAnsi"/>
                <w:bCs/>
              </w:rPr>
              <w:t>-</w:t>
            </w:r>
          </w:p>
        </w:tc>
        <w:tc>
          <w:tcPr>
            <w:tcW w:w="942" w:type="dxa"/>
            <w:tcBorders>
              <w:bottom w:val="single" w:sz="4" w:space="0" w:color="auto"/>
            </w:tcBorders>
          </w:tcPr>
          <w:p w:rsidR="00BC465E" w:rsidRDefault="00B97E00" w:rsidP="00BC465E">
            <w:pPr>
              <w:autoSpaceDE w:val="0"/>
              <w:autoSpaceDN w:val="0"/>
              <w:adjustRightInd w:val="0"/>
              <w:jc w:val="right"/>
              <w:rPr>
                <w:rFonts w:cstheme="minorHAnsi"/>
                <w:bCs/>
              </w:rPr>
            </w:pPr>
            <w:r>
              <w:rPr>
                <w:rFonts w:cstheme="minorHAnsi"/>
                <w:bCs/>
              </w:rPr>
              <w:t>(4,254</w:t>
            </w:r>
            <w:r w:rsidR="000E7246">
              <w:rPr>
                <w:rFonts w:cstheme="minorHAnsi"/>
                <w:bCs/>
              </w:rPr>
              <w:t>)</w:t>
            </w:r>
          </w:p>
        </w:tc>
      </w:tr>
      <w:tr w:rsidR="004902A0" w:rsidRPr="00704C77" w:rsidTr="000E7246">
        <w:tc>
          <w:tcPr>
            <w:tcW w:w="2306" w:type="dxa"/>
          </w:tcPr>
          <w:p w:rsidR="004902A0" w:rsidRPr="00704C77" w:rsidRDefault="00BC465E" w:rsidP="000E7246">
            <w:pPr>
              <w:autoSpaceDE w:val="0"/>
              <w:autoSpaceDN w:val="0"/>
              <w:adjustRightInd w:val="0"/>
              <w:ind w:left="-108"/>
              <w:rPr>
                <w:rFonts w:cstheme="minorHAnsi"/>
                <w:b/>
                <w:bCs/>
              </w:rPr>
            </w:pPr>
            <w:r w:rsidRPr="00704C77">
              <w:rPr>
                <w:rFonts w:cstheme="minorHAnsi"/>
                <w:b/>
                <w:bCs/>
              </w:rPr>
              <w:t>(Loss)/Profit after tax</w:t>
            </w:r>
          </w:p>
        </w:tc>
        <w:tc>
          <w:tcPr>
            <w:tcW w:w="1256" w:type="dxa"/>
            <w:tcBorders>
              <w:top w:val="single" w:sz="4" w:space="0" w:color="auto"/>
              <w:bottom w:val="single" w:sz="4" w:space="0" w:color="auto"/>
            </w:tcBorders>
          </w:tcPr>
          <w:p w:rsidR="004902A0" w:rsidRPr="00704C77" w:rsidRDefault="00704C77" w:rsidP="00BC465E">
            <w:pPr>
              <w:autoSpaceDE w:val="0"/>
              <w:autoSpaceDN w:val="0"/>
              <w:adjustRightInd w:val="0"/>
              <w:jc w:val="right"/>
              <w:rPr>
                <w:rFonts w:cstheme="minorHAnsi"/>
                <w:b/>
                <w:bCs/>
              </w:rPr>
            </w:pPr>
            <w:r>
              <w:rPr>
                <w:rFonts w:cstheme="minorHAnsi"/>
                <w:b/>
                <w:bCs/>
              </w:rPr>
              <w:t>(3,102)</w:t>
            </w:r>
          </w:p>
        </w:tc>
        <w:tc>
          <w:tcPr>
            <w:tcW w:w="1388" w:type="dxa"/>
            <w:tcBorders>
              <w:top w:val="single" w:sz="4" w:space="0" w:color="auto"/>
              <w:bottom w:val="single" w:sz="4" w:space="0" w:color="auto"/>
            </w:tcBorders>
          </w:tcPr>
          <w:p w:rsidR="004902A0" w:rsidRPr="00704C77" w:rsidRDefault="00704C77" w:rsidP="00BC465E">
            <w:pPr>
              <w:autoSpaceDE w:val="0"/>
              <w:autoSpaceDN w:val="0"/>
              <w:adjustRightInd w:val="0"/>
              <w:jc w:val="right"/>
              <w:rPr>
                <w:rFonts w:cstheme="minorHAnsi"/>
                <w:b/>
                <w:bCs/>
              </w:rPr>
            </w:pPr>
            <w:r>
              <w:rPr>
                <w:rFonts w:cstheme="minorHAnsi"/>
                <w:b/>
                <w:bCs/>
              </w:rPr>
              <w:t>12,209</w:t>
            </w:r>
          </w:p>
        </w:tc>
        <w:tc>
          <w:tcPr>
            <w:tcW w:w="1598" w:type="dxa"/>
            <w:tcBorders>
              <w:top w:val="single" w:sz="4" w:space="0" w:color="auto"/>
              <w:bottom w:val="single" w:sz="4" w:space="0" w:color="auto"/>
            </w:tcBorders>
          </w:tcPr>
          <w:p w:rsidR="004902A0" w:rsidRPr="00704C77" w:rsidRDefault="00704C77" w:rsidP="00BC465E">
            <w:pPr>
              <w:autoSpaceDE w:val="0"/>
              <w:autoSpaceDN w:val="0"/>
              <w:adjustRightInd w:val="0"/>
              <w:jc w:val="right"/>
              <w:rPr>
                <w:rFonts w:cstheme="minorHAnsi"/>
                <w:b/>
                <w:bCs/>
              </w:rPr>
            </w:pPr>
            <w:r w:rsidRPr="00704C77">
              <w:rPr>
                <w:rFonts w:cstheme="minorHAnsi"/>
                <w:b/>
                <w:bCs/>
              </w:rPr>
              <w:t>8</w:t>
            </w:r>
            <w:r>
              <w:rPr>
                <w:rFonts w:cstheme="minorHAnsi"/>
                <w:b/>
                <w:bCs/>
              </w:rPr>
              <w:t>34</w:t>
            </w:r>
          </w:p>
        </w:tc>
        <w:tc>
          <w:tcPr>
            <w:tcW w:w="1258" w:type="dxa"/>
            <w:tcBorders>
              <w:top w:val="single" w:sz="4" w:space="0" w:color="auto"/>
              <w:bottom w:val="single" w:sz="4" w:space="0" w:color="auto"/>
            </w:tcBorders>
          </w:tcPr>
          <w:p w:rsidR="004902A0" w:rsidRPr="00704C77" w:rsidRDefault="00704C77" w:rsidP="00BC465E">
            <w:pPr>
              <w:autoSpaceDE w:val="0"/>
              <w:autoSpaceDN w:val="0"/>
              <w:adjustRightInd w:val="0"/>
              <w:jc w:val="right"/>
              <w:rPr>
                <w:rFonts w:cstheme="minorHAnsi"/>
                <w:b/>
                <w:bCs/>
              </w:rPr>
            </w:pPr>
            <w:r>
              <w:rPr>
                <w:rFonts w:cstheme="minorHAnsi"/>
                <w:b/>
                <w:bCs/>
              </w:rPr>
              <w:t>-</w:t>
            </w:r>
          </w:p>
        </w:tc>
        <w:tc>
          <w:tcPr>
            <w:tcW w:w="942" w:type="dxa"/>
            <w:tcBorders>
              <w:top w:val="single" w:sz="4" w:space="0" w:color="auto"/>
              <w:bottom w:val="single" w:sz="4" w:space="0" w:color="auto"/>
            </w:tcBorders>
          </w:tcPr>
          <w:p w:rsidR="004902A0" w:rsidRPr="00704C77" w:rsidRDefault="00704C77" w:rsidP="00BC465E">
            <w:pPr>
              <w:autoSpaceDE w:val="0"/>
              <w:autoSpaceDN w:val="0"/>
              <w:adjustRightInd w:val="0"/>
              <w:jc w:val="right"/>
              <w:rPr>
                <w:rFonts w:cstheme="minorHAnsi"/>
                <w:b/>
                <w:bCs/>
              </w:rPr>
            </w:pPr>
            <w:r>
              <w:rPr>
                <w:rFonts w:cstheme="minorHAnsi"/>
                <w:b/>
                <w:bCs/>
              </w:rPr>
              <w:t>9,941</w:t>
            </w:r>
          </w:p>
        </w:tc>
      </w:tr>
    </w:tbl>
    <w:p w:rsidR="004902A0" w:rsidRDefault="004902A0" w:rsidP="004902A0">
      <w:pPr>
        <w:autoSpaceDE w:val="0"/>
        <w:autoSpaceDN w:val="0"/>
        <w:adjustRightInd w:val="0"/>
        <w:spacing w:after="0" w:line="240" w:lineRule="auto"/>
        <w:rPr>
          <w:rFonts w:cstheme="minorHAnsi"/>
          <w:bCs/>
        </w:rPr>
      </w:pPr>
    </w:p>
    <w:p w:rsidR="000E7246" w:rsidRDefault="000E7246" w:rsidP="004902A0">
      <w:pPr>
        <w:autoSpaceDE w:val="0"/>
        <w:autoSpaceDN w:val="0"/>
        <w:adjustRightInd w:val="0"/>
        <w:spacing w:after="0" w:line="240" w:lineRule="auto"/>
        <w:rPr>
          <w:rFonts w:cstheme="minorHAnsi"/>
          <w:b/>
          <w:bCs/>
        </w:rPr>
      </w:pPr>
      <w:r w:rsidRPr="000E7246">
        <w:rPr>
          <w:rFonts w:cstheme="minorHAnsi"/>
          <w:b/>
          <w:bCs/>
        </w:rPr>
        <w:t>A10.</w:t>
      </w:r>
      <w:r w:rsidRPr="000E7246">
        <w:rPr>
          <w:rFonts w:cstheme="minorHAnsi"/>
          <w:b/>
          <w:bCs/>
        </w:rPr>
        <w:tab/>
        <w:t>Valuation of Property, Plant and Equipment</w:t>
      </w:r>
    </w:p>
    <w:p w:rsidR="000E7246" w:rsidRDefault="000E7246" w:rsidP="004902A0">
      <w:pPr>
        <w:autoSpaceDE w:val="0"/>
        <w:autoSpaceDN w:val="0"/>
        <w:adjustRightInd w:val="0"/>
        <w:spacing w:after="0" w:line="240" w:lineRule="auto"/>
        <w:rPr>
          <w:rFonts w:cstheme="minorHAnsi"/>
          <w:b/>
          <w:bCs/>
        </w:rPr>
      </w:pPr>
    </w:p>
    <w:p w:rsidR="000E7246" w:rsidRDefault="000E7246" w:rsidP="000E7246">
      <w:pPr>
        <w:autoSpaceDE w:val="0"/>
        <w:autoSpaceDN w:val="0"/>
        <w:adjustRightInd w:val="0"/>
        <w:spacing w:after="0" w:line="240" w:lineRule="auto"/>
        <w:ind w:left="720"/>
        <w:jc w:val="both"/>
        <w:rPr>
          <w:rFonts w:cstheme="minorHAnsi"/>
        </w:rPr>
      </w:pPr>
      <w:r w:rsidRPr="000E7246">
        <w:rPr>
          <w:rFonts w:cstheme="minorHAnsi"/>
        </w:rPr>
        <w:t>The Group's property, plant and equipment are stated at cost. There is no policy of regular revaluation of its property, plant and equipment as</w:t>
      </w:r>
      <w:r>
        <w:rPr>
          <w:rFonts w:cstheme="minorHAnsi"/>
        </w:rPr>
        <w:t xml:space="preserve"> </w:t>
      </w:r>
      <w:r w:rsidRPr="000E7246">
        <w:rPr>
          <w:rFonts w:cstheme="minorHAnsi"/>
        </w:rPr>
        <w:t>at the end of the financial period under review.</w:t>
      </w:r>
    </w:p>
    <w:p w:rsidR="000E7246" w:rsidRPr="002F1C6E" w:rsidRDefault="000E7246" w:rsidP="000E7246">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0E7246" w:rsidRDefault="000E7246" w:rsidP="00E91F43">
      <w:pPr>
        <w:pStyle w:val="NoSpacing"/>
        <w:ind w:left="720" w:hanging="720"/>
        <w:jc w:val="both"/>
        <w:rPr>
          <w:b/>
        </w:rPr>
      </w:pPr>
      <w:r w:rsidRPr="00177BA4">
        <w:rPr>
          <w:b/>
        </w:rPr>
        <w:t>A.</w:t>
      </w:r>
      <w:r>
        <w:rPr>
          <w:b/>
        </w:rPr>
        <w:tab/>
        <w:t>EXPLANATORY NOTES PURSUANT TO</w:t>
      </w:r>
      <w:r w:rsidR="00E91F43">
        <w:rPr>
          <w:b/>
        </w:rPr>
        <w:t xml:space="preserve"> MALAYSIAN</w:t>
      </w:r>
      <w:r>
        <w:rPr>
          <w:b/>
        </w:rPr>
        <w:t xml:space="preserve"> FINANCIAL REPORTING STANDARD (“</w:t>
      </w:r>
      <w:r w:rsidR="00E91F43">
        <w:rPr>
          <w:b/>
        </w:rPr>
        <w:t>M</w:t>
      </w:r>
      <w:r>
        <w:rPr>
          <w:b/>
        </w:rPr>
        <w:t>FRS”) 134: INTERIM FINANCIAL REPORTING</w:t>
      </w:r>
    </w:p>
    <w:p w:rsidR="000E7246" w:rsidRDefault="000E7246" w:rsidP="000E7246">
      <w:pPr>
        <w:autoSpaceDE w:val="0"/>
        <w:autoSpaceDN w:val="0"/>
        <w:adjustRightInd w:val="0"/>
        <w:spacing w:after="0" w:line="240" w:lineRule="auto"/>
        <w:jc w:val="both"/>
        <w:rPr>
          <w:rFonts w:cstheme="minorHAnsi"/>
          <w:bCs/>
        </w:rPr>
      </w:pPr>
    </w:p>
    <w:p w:rsidR="000E7246" w:rsidRDefault="000E7246" w:rsidP="000E7246">
      <w:pPr>
        <w:autoSpaceDE w:val="0"/>
        <w:autoSpaceDN w:val="0"/>
        <w:adjustRightInd w:val="0"/>
        <w:spacing w:after="0" w:line="240" w:lineRule="auto"/>
        <w:jc w:val="both"/>
        <w:rPr>
          <w:rFonts w:cstheme="minorHAnsi"/>
          <w:b/>
          <w:bCs/>
        </w:rPr>
      </w:pPr>
      <w:r w:rsidRPr="000E7246">
        <w:rPr>
          <w:rFonts w:cstheme="minorHAnsi"/>
          <w:b/>
          <w:bCs/>
        </w:rPr>
        <w:t>A11.</w:t>
      </w:r>
      <w:r w:rsidRPr="000E7246">
        <w:rPr>
          <w:rFonts w:cstheme="minorHAnsi"/>
          <w:b/>
          <w:bCs/>
        </w:rPr>
        <w:tab/>
        <w:t>Material Events Subsequent to the End of the Interim Period</w:t>
      </w:r>
    </w:p>
    <w:p w:rsidR="000E7246" w:rsidRDefault="000E7246" w:rsidP="000E7246">
      <w:pPr>
        <w:autoSpaceDE w:val="0"/>
        <w:autoSpaceDN w:val="0"/>
        <w:adjustRightInd w:val="0"/>
        <w:spacing w:after="0" w:line="240" w:lineRule="auto"/>
        <w:jc w:val="both"/>
        <w:rPr>
          <w:rFonts w:cstheme="minorHAnsi"/>
          <w:b/>
          <w:bCs/>
        </w:rPr>
      </w:pPr>
    </w:p>
    <w:p w:rsidR="000E7246" w:rsidRDefault="000E7246" w:rsidP="000E7246">
      <w:pPr>
        <w:autoSpaceDE w:val="0"/>
        <w:autoSpaceDN w:val="0"/>
        <w:adjustRightInd w:val="0"/>
        <w:spacing w:after="0" w:line="240" w:lineRule="auto"/>
        <w:jc w:val="both"/>
        <w:rPr>
          <w:rFonts w:cstheme="minorHAnsi"/>
        </w:rPr>
      </w:pPr>
      <w:r w:rsidRPr="000E7246">
        <w:rPr>
          <w:rFonts w:cstheme="minorHAnsi"/>
          <w:b/>
          <w:bCs/>
        </w:rPr>
        <w:tab/>
      </w:r>
      <w:r w:rsidRPr="000E7246">
        <w:rPr>
          <w:rFonts w:cstheme="minorHAnsi"/>
        </w:rPr>
        <w:t>There were no material events subsequent to the end of the interim period.</w:t>
      </w:r>
    </w:p>
    <w:p w:rsidR="00BC6990" w:rsidRDefault="00BC6990" w:rsidP="000E7246">
      <w:pPr>
        <w:autoSpaceDE w:val="0"/>
        <w:autoSpaceDN w:val="0"/>
        <w:adjustRightInd w:val="0"/>
        <w:spacing w:after="0" w:line="240" w:lineRule="auto"/>
        <w:jc w:val="both"/>
        <w:rPr>
          <w:rFonts w:cstheme="minorHAnsi"/>
        </w:rPr>
      </w:pPr>
    </w:p>
    <w:p w:rsidR="00BC6990" w:rsidRDefault="00BC6990" w:rsidP="000E7246">
      <w:pPr>
        <w:autoSpaceDE w:val="0"/>
        <w:autoSpaceDN w:val="0"/>
        <w:adjustRightInd w:val="0"/>
        <w:spacing w:after="0" w:line="240" w:lineRule="auto"/>
        <w:jc w:val="both"/>
        <w:rPr>
          <w:rFonts w:cstheme="minorHAnsi"/>
          <w:b/>
          <w:bCs/>
        </w:rPr>
      </w:pPr>
      <w:r w:rsidRPr="00BC6990">
        <w:rPr>
          <w:rFonts w:cstheme="minorHAnsi"/>
          <w:b/>
          <w:bCs/>
        </w:rPr>
        <w:t>A12.</w:t>
      </w:r>
      <w:r w:rsidRPr="00BC6990">
        <w:rPr>
          <w:rFonts w:cstheme="minorHAnsi"/>
          <w:b/>
          <w:bCs/>
        </w:rPr>
        <w:tab/>
        <w:t>Changes in Composition of the Group</w:t>
      </w:r>
    </w:p>
    <w:p w:rsidR="00BC6990" w:rsidRDefault="00BC6990" w:rsidP="000E7246">
      <w:pPr>
        <w:autoSpaceDE w:val="0"/>
        <w:autoSpaceDN w:val="0"/>
        <w:adjustRightInd w:val="0"/>
        <w:spacing w:after="0" w:line="240" w:lineRule="auto"/>
        <w:jc w:val="both"/>
        <w:rPr>
          <w:rFonts w:cstheme="minorHAnsi"/>
          <w:b/>
          <w:bCs/>
        </w:rPr>
      </w:pPr>
    </w:p>
    <w:p w:rsidR="00D15F89" w:rsidRDefault="00D15F89" w:rsidP="00BC6990">
      <w:pPr>
        <w:autoSpaceDE w:val="0"/>
        <w:autoSpaceDN w:val="0"/>
        <w:adjustRightInd w:val="0"/>
        <w:spacing w:after="0" w:line="240" w:lineRule="auto"/>
        <w:ind w:left="720"/>
        <w:jc w:val="both"/>
        <w:rPr>
          <w:rFonts w:cstheme="minorHAnsi"/>
        </w:rPr>
      </w:pPr>
      <w:r>
        <w:rPr>
          <w:rFonts w:cstheme="minorHAnsi"/>
        </w:rPr>
        <w:t xml:space="preserve">The Proposed Restructuring Exercise of </w:t>
      </w:r>
      <w:proofErr w:type="spellStart"/>
      <w:r>
        <w:rPr>
          <w:rFonts w:cstheme="minorHAnsi"/>
        </w:rPr>
        <w:t>Mithril</w:t>
      </w:r>
      <w:proofErr w:type="spellEnd"/>
      <w:r>
        <w:rPr>
          <w:rFonts w:cstheme="minorHAnsi"/>
        </w:rPr>
        <w:t xml:space="preserve"> </w:t>
      </w:r>
      <w:proofErr w:type="spellStart"/>
      <w:r>
        <w:rPr>
          <w:rFonts w:cstheme="minorHAnsi"/>
        </w:rPr>
        <w:t>Berhad</w:t>
      </w:r>
      <w:proofErr w:type="spellEnd"/>
      <w:r>
        <w:rPr>
          <w:rFonts w:cstheme="minorHAnsi"/>
        </w:rPr>
        <w:t xml:space="preserve"> was completed on 28 September 2012. The Group’s structure </w:t>
      </w:r>
      <w:r w:rsidR="008064EA">
        <w:rPr>
          <w:rFonts w:cstheme="minorHAnsi"/>
        </w:rPr>
        <w:t>during the quarter</w:t>
      </w:r>
      <w:r>
        <w:rPr>
          <w:rFonts w:cstheme="minorHAnsi"/>
        </w:rPr>
        <w:t xml:space="preserve"> is as follows:-</w:t>
      </w:r>
    </w:p>
    <w:p w:rsidR="00D15F89" w:rsidRDefault="00D15F89" w:rsidP="00BC6990">
      <w:pPr>
        <w:autoSpaceDE w:val="0"/>
        <w:autoSpaceDN w:val="0"/>
        <w:adjustRightInd w:val="0"/>
        <w:spacing w:after="0" w:line="240" w:lineRule="auto"/>
        <w:ind w:left="720"/>
        <w:jc w:val="both"/>
        <w:rPr>
          <w:rFonts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1542"/>
        <w:gridCol w:w="1350"/>
        <w:gridCol w:w="1350"/>
        <w:gridCol w:w="1278"/>
      </w:tblGrid>
      <w:tr w:rsidR="00D15F89" w:rsidRPr="00D15F89" w:rsidTr="00A74549">
        <w:tc>
          <w:tcPr>
            <w:tcW w:w="3336" w:type="dxa"/>
            <w:tcBorders>
              <w:top w:val="single" w:sz="4" w:space="0" w:color="auto"/>
              <w:left w:val="single" w:sz="4" w:space="0" w:color="auto"/>
              <w:bottom w:val="single" w:sz="4" w:space="0" w:color="auto"/>
              <w:right w:val="single" w:sz="4" w:space="0" w:color="auto"/>
            </w:tcBorders>
          </w:tcPr>
          <w:p w:rsidR="008064EA" w:rsidRDefault="008064EA" w:rsidP="008064EA">
            <w:pPr>
              <w:autoSpaceDE w:val="0"/>
              <w:autoSpaceDN w:val="0"/>
              <w:adjustRightInd w:val="0"/>
              <w:rPr>
                <w:rFonts w:cstheme="minorHAnsi"/>
                <w:b/>
              </w:rPr>
            </w:pPr>
          </w:p>
          <w:p w:rsidR="00D15F89" w:rsidRPr="00D15F89" w:rsidRDefault="00D15F89" w:rsidP="00EE705D">
            <w:pPr>
              <w:autoSpaceDE w:val="0"/>
              <w:autoSpaceDN w:val="0"/>
              <w:adjustRightInd w:val="0"/>
              <w:rPr>
                <w:rFonts w:cstheme="minorHAnsi"/>
                <w:b/>
              </w:rPr>
            </w:pPr>
          </w:p>
        </w:tc>
        <w:tc>
          <w:tcPr>
            <w:tcW w:w="1542" w:type="dxa"/>
            <w:tcBorders>
              <w:top w:val="single" w:sz="4" w:space="0" w:color="auto"/>
              <w:left w:val="single" w:sz="4" w:space="0" w:color="auto"/>
              <w:bottom w:val="single" w:sz="4" w:space="0" w:color="auto"/>
              <w:right w:val="single" w:sz="4" w:space="0" w:color="auto"/>
            </w:tcBorders>
          </w:tcPr>
          <w:p w:rsidR="00D15F89" w:rsidRPr="00D15F89" w:rsidRDefault="00D15F89" w:rsidP="00D15F89">
            <w:pPr>
              <w:autoSpaceDE w:val="0"/>
              <w:autoSpaceDN w:val="0"/>
              <w:adjustRightInd w:val="0"/>
              <w:jc w:val="center"/>
              <w:rPr>
                <w:rFonts w:cstheme="minorHAnsi"/>
                <w:b/>
              </w:rPr>
            </w:pPr>
            <w:r w:rsidRPr="00D15F89">
              <w:rPr>
                <w:rFonts w:cstheme="minorHAnsi"/>
                <w:b/>
              </w:rPr>
              <w:t>Principal activities</w:t>
            </w:r>
          </w:p>
        </w:tc>
        <w:tc>
          <w:tcPr>
            <w:tcW w:w="2700" w:type="dxa"/>
            <w:gridSpan w:val="2"/>
            <w:tcBorders>
              <w:top w:val="single" w:sz="4" w:space="0" w:color="auto"/>
              <w:left w:val="single" w:sz="4" w:space="0" w:color="auto"/>
              <w:bottom w:val="single" w:sz="4" w:space="0" w:color="auto"/>
              <w:right w:val="single" w:sz="4" w:space="0" w:color="auto"/>
            </w:tcBorders>
          </w:tcPr>
          <w:p w:rsidR="008064EA" w:rsidRDefault="008064EA" w:rsidP="00D15F89">
            <w:pPr>
              <w:autoSpaceDE w:val="0"/>
              <w:autoSpaceDN w:val="0"/>
              <w:adjustRightInd w:val="0"/>
              <w:jc w:val="center"/>
              <w:rPr>
                <w:rFonts w:cstheme="minorHAnsi"/>
                <w:b/>
              </w:rPr>
            </w:pPr>
          </w:p>
          <w:p w:rsidR="00D15F89" w:rsidRPr="00D15F89" w:rsidRDefault="00D15F89" w:rsidP="00D15F89">
            <w:pPr>
              <w:autoSpaceDE w:val="0"/>
              <w:autoSpaceDN w:val="0"/>
              <w:adjustRightInd w:val="0"/>
              <w:jc w:val="center"/>
              <w:rPr>
                <w:rFonts w:cstheme="minorHAnsi"/>
                <w:b/>
              </w:rPr>
            </w:pPr>
            <w:r w:rsidRPr="00D15F89">
              <w:rPr>
                <w:rFonts w:cstheme="minorHAnsi"/>
                <w:b/>
              </w:rPr>
              <w:t>Share capital</w:t>
            </w:r>
          </w:p>
        </w:tc>
        <w:tc>
          <w:tcPr>
            <w:tcW w:w="1278" w:type="dxa"/>
            <w:tcBorders>
              <w:top w:val="single" w:sz="4" w:space="0" w:color="auto"/>
              <w:left w:val="single" w:sz="4" w:space="0" w:color="auto"/>
              <w:bottom w:val="single" w:sz="4" w:space="0" w:color="auto"/>
              <w:right w:val="single" w:sz="4" w:space="0" w:color="auto"/>
            </w:tcBorders>
          </w:tcPr>
          <w:p w:rsidR="008064EA" w:rsidRDefault="00D15F89" w:rsidP="008064EA">
            <w:pPr>
              <w:autoSpaceDE w:val="0"/>
              <w:autoSpaceDN w:val="0"/>
              <w:adjustRightInd w:val="0"/>
              <w:jc w:val="center"/>
              <w:rPr>
                <w:rFonts w:cstheme="minorHAnsi"/>
                <w:b/>
              </w:rPr>
            </w:pPr>
            <w:r>
              <w:rPr>
                <w:rFonts w:cstheme="minorHAnsi"/>
                <w:b/>
              </w:rPr>
              <w:t>% of</w:t>
            </w:r>
          </w:p>
          <w:p w:rsidR="00D15F89" w:rsidRPr="00D15F89" w:rsidRDefault="00D15F89" w:rsidP="00D15F89">
            <w:pPr>
              <w:autoSpaceDE w:val="0"/>
              <w:autoSpaceDN w:val="0"/>
              <w:adjustRightInd w:val="0"/>
              <w:jc w:val="center"/>
              <w:rPr>
                <w:rFonts w:cstheme="minorHAnsi"/>
                <w:b/>
              </w:rPr>
            </w:pPr>
            <w:r>
              <w:rPr>
                <w:rFonts w:cstheme="minorHAnsi"/>
                <w:b/>
              </w:rPr>
              <w:t>shares held</w:t>
            </w:r>
          </w:p>
        </w:tc>
      </w:tr>
      <w:tr w:rsidR="00D15F89" w:rsidTr="00A74549">
        <w:tc>
          <w:tcPr>
            <w:tcW w:w="3336" w:type="dxa"/>
            <w:tcBorders>
              <w:top w:val="single" w:sz="4" w:space="0" w:color="auto"/>
              <w:left w:val="single" w:sz="4" w:space="0" w:color="auto"/>
              <w:right w:val="single" w:sz="4" w:space="0" w:color="auto"/>
            </w:tcBorders>
          </w:tcPr>
          <w:p w:rsidR="00A74549" w:rsidRDefault="00A74549" w:rsidP="00A74549">
            <w:pPr>
              <w:autoSpaceDE w:val="0"/>
              <w:autoSpaceDN w:val="0"/>
              <w:adjustRightInd w:val="0"/>
              <w:rPr>
                <w:rFonts w:cstheme="minorHAnsi"/>
                <w:b/>
              </w:rPr>
            </w:pPr>
          </w:p>
          <w:p w:rsidR="00D15F89" w:rsidRPr="00A74549" w:rsidRDefault="00A74549" w:rsidP="00A74549">
            <w:pPr>
              <w:autoSpaceDE w:val="0"/>
              <w:autoSpaceDN w:val="0"/>
              <w:adjustRightInd w:val="0"/>
              <w:rPr>
                <w:rFonts w:cstheme="minorHAnsi"/>
                <w:b/>
              </w:rPr>
            </w:pPr>
            <w:r w:rsidRPr="00A74549">
              <w:rPr>
                <w:rFonts w:cstheme="minorHAnsi"/>
                <w:b/>
              </w:rPr>
              <w:t>Holding company</w:t>
            </w:r>
          </w:p>
        </w:tc>
        <w:tc>
          <w:tcPr>
            <w:tcW w:w="1542" w:type="dxa"/>
            <w:tcBorders>
              <w:top w:val="single" w:sz="4" w:space="0" w:color="auto"/>
              <w:left w:val="single" w:sz="4" w:space="0" w:color="auto"/>
              <w:right w:val="single" w:sz="4" w:space="0" w:color="auto"/>
            </w:tcBorders>
          </w:tcPr>
          <w:p w:rsidR="00D15F89" w:rsidRDefault="00D15F89" w:rsidP="00D15F89">
            <w:pPr>
              <w:autoSpaceDE w:val="0"/>
              <w:autoSpaceDN w:val="0"/>
              <w:adjustRightInd w:val="0"/>
              <w:jc w:val="center"/>
              <w:rPr>
                <w:rFonts w:cstheme="minorHAnsi"/>
              </w:rPr>
            </w:pPr>
          </w:p>
        </w:tc>
        <w:tc>
          <w:tcPr>
            <w:tcW w:w="1350" w:type="dxa"/>
            <w:tcBorders>
              <w:top w:val="single" w:sz="4" w:space="0" w:color="auto"/>
              <w:left w:val="single" w:sz="4" w:space="0" w:color="auto"/>
              <w:bottom w:val="single" w:sz="4" w:space="0" w:color="auto"/>
              <w:right w:val="single" w:sz="4" w:space="0" w:color="auto"/>
            </w:tcBorders>
          </w:tcPr>
          <w:p w:rsidR="008064EA" w:rsidRDefault="00D15F89" w:rsidP="00D15F89">
            <w:pPr>
              <w:autoSpaceDE w:val="0"/>
              <w:autoSpaceDN w:val="0"/>
              <w:adjustRightInd w:val="0"/>
              <w:jc w:val="center"/>
              <w:rPr>
                <w:rFonts w:cstheme="minorHAnsi"/>
              </w:rPr>
            </w:pPr>
            <w:r>
              <w:rPr>
                <w:rFonts w:cstheme="minorHAnsi"/>
              </w:rPr>
              <w:t xml:space="preserve">No. of </w:t>
            </w:r>
          </w:p>
          <w:p w:rsidR="00D15F89" w:rsidRDefault="00D15F89" w:rsidP="00D15F89">
            <w:pPr>
              <w:autoSpaceDE w:val="0"/>
              <w:autoSpaceDN w:val="0"/>
              <w:adjustRightInd w:val="0"/>
              <w:jc w:val="center"/>
              <w:rPr>
                <w:rFonts w:cstheme="minorHAnsi"/>
              </w:rPr>
            </w:pPr>
            <w:r>
              <w:rPr>
                <w:rFonts w:cstheme="minorHAnsi"/>
              </w:rPr>
              <w:t>shares</w:t>
            </w:r>
            <w:r w:rsidR="008064EA">
              <w:rPr>
                <w:rFonts w:cstheme="minorHAnsi"/>
              </w:rPr>
              <w:t xml:space="preserve"> held</w:t>
            </w:r>
          </w:p>
        </w:tc>
        <w:tc>
          <w:tcPr>
            <w:tcW w:w="1350" w:type="dxa"/>
            <w:tcBorders>
              <w:top w:val="single" w:sz="4" w:space="0" w:color="auto"/>
              <w:left w:val="single" w:sz="4" w:space="0" w:color="auto"/>
              <w:bottom w:val="single" w:sz="4" w:space="0" w:color="auto"/>
              <w:right w:val="single" w:sz="4" w:space="0" w:color="auto"/>
            </w:tcBorders>
          </w:tcPr>
          <w:p w:rsidR="008064EA" w:rsidRDefault="008064EA" w:rsidP="00D15F89">
            <w:pPr>
              <w:autoSpaceDE w:val="0"/>
              <w:autoSpaceDN w:val="0"/>
              <w:adjustRightInd w:val="0"/>
              <w:jc w:val="center"/>
              <w:rPr>
                <w:rFonts w:cstheme="minorHAnsi"/>
              </w:rPr>
            </w:pPr>
          </w:p>
          <w:p w:rsidR="00D15F89" w:rsidRDefault="00D15F89" w:rsidP="00D15F89">
            <w:pPr>
              <w:autoSpaceDE w:val="0"/>
              <w:autoSpaceDN w:val="0"/>
              <w:adjustRightInd w:val="0"/>
              <w:jc w:val="center"/>
              <w:rPr>
                <w:rFonts w:cstheme="minorHAnsi"/>
              </w:rPr>
            </w:pPr>
            <w:r>
              <w:rPr>
                <w:rFonts w:cstheme="minorHAnsi"/>
              </w:rPr>
              <w:t>RM</w:t>
            </w:r>
          </w:p>
        </w:tc>
        <w:tc>
          <w:tcPr>
            <w:tcW w:w="1278" w:type="dxa"/>
            <w:tcBorders>
              <w:top w:val="single" w:sz="4" w:space="0" w:color="auto"/>
              <w:left w:val="single" w:sz="4" w:space="0" w:color="auto"/>
              <w:right w:val="single" w:sz="4" w:space="0" w:color="auto"/>
            </w:tcBorders>
          </w:tcPr>
          <w:p w:rsidR="00D15F89" w:rsidRDefault="00D15F89" w:rsidP="00D15F89">
            <w:pPr>
              <w:autoSpaceDE w:val="0"/>
              <w:autoSpaceDN w:val="0"/>
              <w:adjustRightInd w:val="0"/>
              <w:jc w:val="center"/>
              <w:rPr>
                <w:rFonts w:cstheme="minorHAnsi"/>
              </w:rPr>
            </w:pPr>
          </w:p>
        </w:tc>
      </w:tr>
      <w:tr w:rsidR="00D15F89" w:rsidTr="00A74549">
        <w:tc>
          <w:tcPr>
            <w:tcW w:w="3336" w:type="dxa"/>
            <w:tcBorders>
              <w:left w:val="single" w:sz="4" w:space="0" w:color="auto"/>
              <w:right w:val="single" w:sz="4" w:space="0" w:color="auto"/>
            </w:tcBorders>
          </w:tcPr>
          <w:p w:rsidR="00D15F89" w:rsidRPr="00A74549" w:rsidRDefault="00D15F89" w:rsidP="00A74549">
            <w:pPr>
              <w:pStyle w:val="ListParagraph"/>
              <w:numPr>
                <w:ilvl w:val="0"/>
                <w:numId w:val="13"/>
              </w:numPr>
              <w:autoSpaceDE w:val="0"/>
              <w:autoSpaceDN w:val="0"/>
              <w:adjustRightInd w:val="0"/>
              <w:rPr>
                <w:rFonts w:cstheme="minorHAnsi"/>
              </w:rPr>
            </w:pPr>
            <w:proofErr w:type="spellStart"/>
            <w:r w:rsidRPr="00A74549">
              <w:rPr>
                <w:rFonts w:cstheme="minorHAnsi"/>
              </w:rPr>
              <w:t>Pesona</w:t>
            </w:r>
            <w:proofErr w:type="spellEnd"/>
            <w:r w:rsidRPr="00A74549">
              <w:rPr>
                <w:rFonts w:cstheme="minorHAnsi"/>
              </w:rPr>
              <w:t xml:space="preserve"> Metro Holdings </w:t>
            </w:r>
            <w:proofErr w:type="spellStart"/>
            <w:r w:rsidRPr="00A74549">
              <w:rPr>
                <w:rFonts w:cstheme="minorHAnsi"/>
              </w:rPr>
              <w:t>Berhad</w:t>
            </w:r>
            <w:proofErr w:type="spellEnd"/>
            <w:r w:rsidR="008C62EF" w:rsidRPr="00A74549">
              <w:rPr>
                <w:rFonts w:cstheme="minorHAnsi"/>
              </w:rPr>
              <w:t xml:space="preserve"> (“PMHB”)</w:t>
            </w:r>
          </w:p>
        </w:tc>
        <w:tc>
          <w:tcPr>
            <w:tcW w:w="1542" w:type="dxa"/>
            <w:tcBorders>
              <w:left w:val="single" w:sz="4" w:space="0" w:color="auto"/>
              <w:right w:val="single" w:sz="4" w:space="0" w:color="auto"/>
            </w:tcBorders>
          </w:tcPr>
          <w:p w:rsidR="00D15F89" w:rsidRDefault="00D15F89" w:rsidP="00D15F89">
            <w:pPr>
              <w:autoSpaceDE w:val="0"/>
              <w:autoSpaceDN w:val="0"/>
              <w:adjustRightInd w:val="0"/>
              <w:jc w:val="center"/>
              <w:rPr>
                <w:rFonts w:cstheme="minorHAnsi"/>
              </w:rPr>
            </w:pPr>
            <w:r>
              <w:rPr>
                <w:rFonts w:cstheme="minorHAnsi"/>
              </w:rPr>
              <w:t>Investment holding</w:t>
            </w:r>
          </w:p>
        </w:tc>
        <w:tc>
          <w:tcPr>
            <w:tcW w:w="1350" w:type="dxa"/>
            <w:tcBorders>
              <w:top w:val="single" w:sz="4" w:space="0" w:color="auto"/>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p w:rsidR="00D15F89" w:rsidRDefault="00D15F89" w:rsidP="008064EA">
            <w:pPr>
              <w:autoSpaceDE w:val="0"/>
              <w:autoSpaceDN w:val="0"/>
              <w:adjustRightInd w:val="0"/>
              <w:jc w:val="right"/>
              <w:rPr>
                <w:rFonts w:cstheme="minorHAnsi"/>
              </w:rPr>
            </w:pPr>
            <w:r>
              <w:rPr>
                <w:rFonts w:cstheme="minorHAnsi"/>
              </w:rPr>
              <w:t>463,820,448</w:t>
            </w:r>
          </w:p>
        </w:tc>
        <w:tc>
          <w:tcPr>
            <w:tcW w:w="1350" w:type="dxa"/>
            <w:tcBorders>
              <w:top w:val="single" w:sz="4" w:space="0" w:color="auto"/>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p w:rsidR="00D15F89" w:rsidRDefault="00D15F89" w:rsidP="008064EA">
            <w:pPr>
              <w:autoSpaceDE w:val="0"/>
              <w:autoSpaceDN w:val="0"/>
              <w:adjustRightInd w:val="0"/>
              <w:jc w:val="right"/>
              <w:rPr>
                <w:rFonts w:cstheme="minorHAnsi"/>
              </w:rPr>
            </w:pPr>
            <w:r>
              <w:rPr>
                <w:rFonts w:cstheme="minorHAnsi"/>
              </w:rPr>
              <w:t>115,955,112</w:t>
            </w:r>
          </w:p>
        </w:tc>
        <w:tc>
          <w:tcPr>
            <w:tcW w:w="1278"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p w:rsidR="00D15F89" w:rsidRDefault="008064EA" w:rsidP="008064EA">
            <w:pPr>
              <w:autoSpaceDE w:val="0"/>
              <w:autoSpaceDN w:val="0"/>
              <w:adjustRightInd w:val="0"/>
              <w:jc w:val="right"/>
              <w:rPr>
                <w:rFonts w:cstheme="minorHAnsi"/>
              </w:rPr>
            </w:pPr>
            <w:r>
              <w:rPr>
                <w:rFonts w:cstheme="minorHAnsi"/>
              </w:rPr>
              <w:t>-</w:t>
            </w:r>
          </w:p>
        </w:tc>
      </w:tr>
      <w:tr w:rsidR="00D15F89" w:rsidTr="00A74549">
        <w:tc>
          <w:tcPr>
            <w:tcW w:w="3336" w:type="dxa"/>
            <w:tcBorders>
              <w:left w:val="single" w:sz="4" w:space="0" w:color="auto"/>
              <w:right w:val="single" w:sz="4" w:space="0" w:color="auto"/>
            </w:tcBorders>
          </w:tcPr>
          <w:p w:rsidR="00D15F89" w:rsidRDefault="00D15F89" w:rsidP="00D15F89">
            <w:pPr>
              <w:autoSpaceDE w:val="0"/>
              <w:autoSpaceDN w:val="0"/>
              <w:adjustRightInd w:val="0"/>
              <w:jc w:val="center"/>
              <w:rPr>
                <w:rFonts w:cstheme="minorHAnsi"/>
              </w:rPr>
            </w:pPr>
          </w:p>
        </w:tc>
        <w:tc>
          <w:tcPr>
            <w:tcW w:w="1542" w:type="dxa"/>
            <w:tcBorders>
              <w:left w:val="single" w:sz="4" w:space="0" w:color="auto"/>
              <w:right w:val="single" w:sz="4" w:space="0" w:color="auto"/>
            </w:tcBorders>
          </w:tcPr>
          <w:p w:rsidR="00D15F89" w:rsidRDefault="00D15F89" w:rsidP="00D15F89">
            <w:pPr>
              <w:autoSpaceDE w:val="0"/>
              <w:autoSpaceDN w:val="0"/>
              <w:adjustRightInd w:val="0"/>
              <w:jc w:val="center"/>
              <w:rPr>
                <w:rFonts w:cstheme="minorHAnsi"/>
              </w:rPr>
            </w:pPr>
          </w:p>
        </w:tc>
        <w:tc>
          <w:tcPr>
            <w:tcW w:w="1350"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tc>
        <w:tc>
          <w:tcPr>
            <w:tcW w:w="1350"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tc>
        <w:tc>
          <w:tcPr>
            <w:tcW w:w="1278"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tc>
      </w:tr>
      <w:tr w:rsidR="00D15F89" w:rsidTr="00A74549">
        <w:tc>
          <w:tcPr>
            <w:tcW w:w="3336" w:type="dxa"/>
            <w:tcBorders>
              <w:left w:val="single" w:sz="4" w:space="0" w:color="auto"/>
              <w:right w:val="single" w:sz="4" w:space="0" w:color="auto"/>
            </w:tcBorders>
          </w:tcPr>
          <w:p w:rsidR="00D15F89" w:rsidRPr="00D15F89" w:rsidRDefault="00325F1F" w:rsidP="00325F1F">
            <w:pPr>
              <w:autoSpaceDE w:val="0"/>
              <w:autoSpaceDN w:val="0"/>
              <w:adjustRightInd w:val="0"/>
              <w:rPr>
                <w:rFonts w:cstheme="minorHAnsi"/>
                <w:b/>
              </w:rPr>
            </w:pPr>
            <w:r>
              <w:rPr>
                <w:rFonts w:cstheme="minorHAnsi"/>
                <w:b/>
              </w:rPr>
              <w:t>Direct s</w:t>
            </w:r>
            <w:r w:rsidR="008064EA">
              <w:rPr>
                <w:rFonts w:cstheme="minorHAnsi"/>
                <w:b/>
              </w:rPr>
              <w:t>ubsidiary companies</w:t>
            </w:r>
          </w:p>
        </w:tc>
        <w:tc>
          <w:tcPr>
            <w:tcW w:w="1542" w:type="dxa"/>
            <w:tcBorders>
              <w:left w:val="single" w:sz="4" w:space="0" w:color="auto"/>
              <w:right w:val="single" w:sz="4" w:space="0" w:color="auto"/>
            </w:tcBorders>
          </w:tcPr>
          <w:p w:rsidR="00D15F89" w:rsidRDefault="00D15F89" w:rsidP="00D15F89">
            <w:pPr>
              <w:autoSpaceDE w:val="0"/>
              <w:autoSpaceDN w:val="0"/>
              <w:adjustRightInd w:val="0"/>
              <w:jc w:val="center"/>
              <w:rPr>
                <w:rFonts w:cstheme="minorHAnsi"/>
              </w:rPr>
            </w:pPr>
          </w:p>
        </w:tc>
        <w:tc>
          <w:tcPr>
            <w:tcW w:w="1350"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tc>
        <w:tc>
          <w:tcPr>
            <w:tcW w:w="1350"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tc>
        <w:tc>
          <w:tcPr>
            <w:tcW w:w="1278"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tc>
      </w:tr>
      <w:tr w:rsidR="00D15F89" w:rsidTr="00A74549">
        <w:tc>
          <w:tcPr>
            <w:tcW w:w="3336" w:type="dxa"/>
            <w:tcBorders>
              <w:left w:val="single" w:sz="4" w:space="0" w:color="auto"/>
              <w:right w:val="single" w:sz="4" w:space="0" w:color="auto"/>
            </w:tcBorders>
          </w:tcPr>
          <w:p w:rsidR="00D15F89" w:rsidRPr="00A74549" w:rsidRDefault="00D15F89" w:rsidP="00A74549">
            <w:pPr>
              <w:pStyle w:val="ListParagraph"/>
              <w:numPr>
                <w:ilvl w:val="0"/>
                <w:numId w:val="13"/>
              </w:numPr>
              <w:autoSpaceDE w:val="0"/>
              <w:autoSpaceDN w:val="0"/>
              <w:adjustRightInd w:val="0"/>
              <w:rPr>
                <w:rFonts w:cstheme="minorHAnsi"/>
              </w:rPr>
            </w:pPr>
            <w:proofErr w:type="spellStart"/>
            <w:r w:rsidRPr="00A74549">
              <w:rPr>
                <w:rFonts w:cstheme="minorHAnsi"/>
              </w:rPr>
              <w:t>Pesona</w:t>
            </w:r>
            <w:proofErr w:type="spellEnd"/>
            <w:r w:rsidRPr="00A74549">
              <w:rPr>
                <w:rFonts w:cstheme="minorHAnsi"/>
              </w:rPr>
              <w:t xml:space="preserve"> Metro </w:t>
            </w:r>
            <w:proofErr w:type="spellStart"/>
            <w:r w:rsidRPr="00A74549">
              <w:rPr>
                <w:rFonts w:cstheme="minorHAnsi"/>
              </w:rPr>
              <w:t>Sdn</w:t>
            </w:r>
            <w:proofErr w:type="spellEnd"/>
            <w:r w:rsidRPr="00A74549">
              <w:rPr>
                <w:rFonts w:cstheme="minorHAnsi"/>
              </w:rPr>
              <w:t xml:space="preserve"> </w:t>
            </w:r>
            <w:proofErr w:type="spellStart"/>
            <w:r w:rsidRPr="00A74549">
              <w:rPr>
                <w:rFonts w:cstheme="minorHAnsi"/>
              </w:rPr>
              <w:t>Bhd</w:t>
            </w:r>
            <w:proofErr w:type="spellEnd"/>
            <w:r w:rsidR="008C62EF" w:rsidRPr="00A74549">
              <w:rPr>
                <w:rFonts w:cstheme="minorHAnsi"/>
              </w:rPr>
              <w:t xml:space="preserve"> (“PMSB”)</w:t>
            </w:r>
          </w:p>
        </w:tc>
        <w:tc>
          <w:tcPr>
            <w:tcW w:w="1542" w:type="dxa"/>
            <w:tcBorders>
              <w:left w:val="single" w:sz="4" w:space="0" w:color="auto"/>
              <w:right w:val="single" w:sz="4" w:space="0" w:color="auto"/>
            </w:tcBorders>
          </w:tcPr>
          <w:p w:rsidR="008064EA" w:rsidRDefault="008064EA" w:rsidP="00D15F89">
            <w:pPr>
              <w:autoSpaceDE w:val="0"/>
              <w:autoSpaceDN w:val="0"/>
              <w:adjustRightInd w:val="0"/>
              <w:jc w:val="center"/>
              <w:rPr>
                <w:rFonts w:cstheme="minorHAnsi"/>
              </w:rPr>
            </w:pPr>
            <w:r>
              <w:rPr>
                <w:rFonts w:cstheme="minorHAnsi"/>
              </w:rPr>
              <w:t>Construction</w:t>
            </w:r>
          </w:p>
        </w:tc>
        <w:tc>
          <w:tcPr>
            <w:tcW w:w="1350" w:type="dxa"/>
            <w:tcBorders>
              <w:left w:val="single" w:sz="4" w:space="0" w:color="auto"/>
              <w:right w:val="single" w:sz="4" w:space="0" w:color="auto"/>
            </w:tcBorders>
          </w:tcPr>
          <w:p w:rsidR="008064EA" w:rsidRDefault="008064EA" w:rsidP="008064EA">
            <w:pPr>
              <w:autoSpaceDE w:val="0"/>
              <w:autoSpaceDN w:val="0"/>
              <w:adjustRightInd w:val="0"/>
              <w:jc w:val="right"/>
              <w:rPr>
                <w:rFonts w:cstheme="minorHAnsi"/>
              </w:rPr>
            </w:pPr>
            <w:r>
              <w:rPr>
                <w:rFonts w:cstheme="minorHAnsi"/>
              </w:rPr>
              <w:t>5,000,000</w:t>
            </w:r>
          </w:p>
        </w:tc>
        <w:tc>
          <w:tcPr>
            <w:tcW w:w="1350" w:type="dxa"/>
            <w:tcBorders>
              <w:left w:val="single" w:sz="4" w:space="0" w:color="auto"/>
              <w:right w:val="single" w:sz="4" w:space="0" w:color="auto"/>
            </w:tcBorders>
          </w:tcPr>
          <w:p w:rsidR="008064EA" w:rsidRDefault="008064EA" w:rsidP="008064EA">
            <w:pPr>
              <w:autoSpaceDE w:val="0"/>
              <w:autoSpaceDN w:val="0"/>
              <w:adjustRightInd w:val="0"/>
              <w:jc w:val="right"/>
              <w:rPr>
                <w:rFonts w:cstheme="minorHAnsi"/>
              </w:rPr>
            </w:pPr>
            <w:r>
              <w:rPr>
                <w:rFonts w:cstheme="minorHAnsi"/>
              </w:rPr>
              <w:t>5,000,000</w:t>
            </w:r>
          </w:p>
        </w:tc>
        <w:tc>
          <w:tcPr>
            <w:tcW w:w="1278" w:type="dxa"/>
            <w:tcBorders>
              <w:left w:val="single" w:sz="4" w:space="0" w:color="auto"/>
              <w:right w:val="single" w:sz="4" w:space="0" w:color="auto"/>
            </w:tcBorders>
          </w:tcPr>
          <w:p w:rsidR="008064EA" w:rsidRDefault="008064EA" w:rsidP="008064EA">
            <w:pPr>
              <w:autoSpaceDE w:val="0"/>
              <w:autoSpaceDN w:val="0"/>
              <w:adjustRightInd w:val="0"/>
              <w:jc w:val="right"/>
              <w:rPr>
                <w:rFonts w:cstheme="minorHAnsi"/>
              </w:rPr>
            </w:pPr>
            <w:r>
              <w:rPr>
                <w:rFonts w:cstheme="minorHAnsi"/>
              </w:rPr>
              <w:t>100</w:t>
            </w:r>
          </w:p>
        </w:tc>
      </w:tr>
      <w:tr w:rsidR="00D15F89" w:rsidTr="00A74549">
        <w:tc>
          <w:tcPr>
            <w:tcW w:w="3336" w:type="dxa"/>
            <w:tcBorders>
              <w:left w:val="single" w:sz="4" w:space="0" w:color="auto"/>
              <w:right w:val="single" w:sz="4" w:space="0" w:color="auto"/>
            </w:tcBorders>
          </w:tcPr>
          <w:p w:rsidR="00D15F89" w:rsidRPr="00A74549" w:rsidRDefault="00D15F89" w:rsidP="00A74549">
            <w:pPr>
              <w:pStyle w:val="ListParagraph"/>
              <w:numPr>
                <w:ilvl w:val="0"/>
                <w:numId w:val="13"/>
              </w:numPr>
              <w:autoSpaceDE w:val="0"/>
              <w:autoSpaceDN w:val="0"/>
              <w:adjustRightInd w:val="0"/>
              <w:rPr>
                <w:rFonts w:cstheme="minorHAnsi"/>
              </w:rPr>
            </w:pPr>
            <w:proofErr w:type="spellStart"/>
            <w:r w:rsidRPr="00A74549">
              <w:rPr>
                <w:rFonts w:cstheme="minorHAnsi"/>
              </w:rPr>
              <w:t>Peso</w:t>
            </w:r>
            <w:r w:rsidR="008C62EF" w:rsidRPr="00A74549">
              <w:rPr>
                <w:rFonts w:cstheme="minorHAnsi"/>
              </w:rPr>
              <w:t>na</w:t>
            </w:r>
            <w:proofErr w:type="spellEnd"/>
            <w:r w:rsidR="008C62EF" w:rsidRPr="00A74549">
              <w:rPr>
                <w:rFonts w:cstheme="minorHAnsi"/>
              </w:rPr>
              <w:t xml:space="preserve"> </w:t>
            </w:r>
            <w:proofErr w:type="spellStart"/>
            <w:r w:rsidR="008C62EF" w:rsidRPr="00A74549">
              <w:rPr>
                <w:rFonts w:cstheme="minorHAnsi"/>
              </w:rPr>
              <w:t>Saferay</w:t>
            </w:r>
            <w:proofErr w:type="spellEnd"/>
            <w:r w:rsidRPr="00A74549">
              <w:rPr>
                <w:rFonts w:cstheme="minorHAnsi"/>
              </w:rPr>
              <w:t xml:space="preserve"> </w:t>
            </w:r>
            <w:proofErr w:type="spellStart"/>
            <w:r w:rsidRPr="00A74549">
              <w:rPr>
                <w:rFonts w:cstheme="minorHAnsi"/>
              </w:rPr>
              <w:t>Sdn</w:t>
            </w:r>
            <w:proofErr w:type="spellEnd"/>
            <w:r w:rsidRPr="00A74549">
              <w:rPr>
                <w:rFonts w:cstheme="minorHAnsi"/>
              </w:rPr>
              <w:t xml:space="preserve"> </w:t>
            </w:r>
            <w:proofErr w:type="spellStart"/>
            <w:r w:rsidRPr="00A74549">
              <w:rPr>
                <w:rFonts w:cstheme="minorHAnsi"/>
              </w:rPr>
              <w:t>Bhd</w:t>
            </w:r>
            <w:proofErr w:type="spellEnd"/>
            <w:r w:rsidRPr="00A74549">
              <w:rPr>
                <w:rFonts w:cstheme="minorHAnsi"/>
              </w:rPr>
              <w:t xml:space="preserve"> (Formerly known as </w:t>
            </w:r>
            <w:proofErr w:type="spellStart"/>
            <w:r w:rsidRPr="00A74549">
              <w:rPr>
                <w:rFonts w:cstheme="minorHAnsi"/>
              </w:rPr>
              <w:t>Mithril</w:t>
            </w:r>
            <w:proofErr w:type="spellEnd"/>
            <w:r w:rsidRPr="00A74549">
              <w:rPr>
                <w:rFonts w:cstheme="minorHAnsi"/>
              </w:rPr>
              <w:t xml:space="preserve"> </w:t>
            </w:r>
            <w:proofErr w:type="spellStart"/>
            <w:r w:rsidRPr="00A74549">
              <w:rPr>
                <w:rFonts w:cstheme="minorHAnsi"/>
              </w:rPr>
              <w:t>Saferay</w:t>
            </w:r>
            <w:proofErr w:type="spellEnd"/>
            <w:r w:rsidRPr="00A74549">
              <w:rPr>
                <w:rFonts w:cstheme="minorHAnsi"/>
              </w:rPr>
              <w:t xml:space="preserve"> </w:t>
            </w:r>
            <w:proofErr w:type="spellStart"/>
            <w:r w:rsidRPr="00A74549">
              <w:rPr>
                <w:rFonts w:cstheme="minorHAnsi"/>
              </w:rPr>
              <w:t>Sdn</w:t>
            </w:r>
            <w:proofErr w:type="spellEnd"/>
            <w:r w:rsidRPr="00A74549">
              <w:rPr>
                <w:rFonts w:cstheme="minorHAnsi"/>
              </w:rPr>
              <w:t xml:space="preserve"> </w:t>
            </w:r>
            <w:proofErr w:type="spellStart"/>
            <w:r w:rsidRPr="00A74549">
              <w:rPr>
                <w:rFonts w:cstheme="minorHAnsi"/>
              </w:rPr>
              <w:t>Bhd</w:t>
            </w:r>
            <w:proofErr w:type="spellEnd"/>
            <w:r w:rsidRPr="00A74549">
              <w:rPr>
                <w:rFonts w:cstheme="minorHAnsi"/>
              </w:rPr>
              <w:t>)</w:t>
            </w:r>
          </w:p>
          <w:p w:rsidR="008C62EF" w:rsidRPr="00D15F89" w:rsidRDefault="008C62EF" w:rsidP="00D15F89">
            <w:pPr>
              <w:autoSpaceDE w:val="0"/>
              <w:autoSpaceDN w:val="0"/>
              <w:adjustRightInd w:val="0"/>
              <w:jc w:val="center"/>
              <w:rPr>
                <w:rFonts w:cstheme="minorHAnsi"/>
              </w:rPr>
            </w:pPr>
            <w:r>
              <w:rPr>
                <w:rFonts w:cstheme="minorHAnsi"/>
              </w:rPr>
              <w:t>(“PSSB”)</w:t>
            </w:r>
          </w:p>
        </w:tc>
        <w:tc>
          <w:tcPr>
            <w:tcW w:w="1542" w:type="dxa"/>
            <w:tcBorders>
              <w:left w:val="single" w:sz="4" w:space="0" w:color="auto"/>
              <w:right w:val="single" w:sz="4" w:space="0" w:color="auto"/>
            </w:tcBorders>
          </w:tcPr>
          <w:p w:rsidR="00D15F89" w:rsidRDefault="008064EA" w:rsidP="008064EA">
            <w:pPr>
              <w:autoSpaceDE w:val="0"/>
              <w:autoSpaceDN w:val="0"/>
              <w:adjustRightInd w:val="0"/>
              <w:jc w:val="center"/>
              <w:rPr>
                <w:rFonts w:cstheme="minorHAnsi"/>
              </w:rPr>
            </w:pPr>
            <w:r>
              <w:rPr>
                <w:rFonts w:cstheme="minorHAnsi"/>
              </w:rPr>
              <w:t>Manufacturing of polyurethane products</w:t>
            </w:r>
          </w:p>
        </w:tc>
        <w:tc>
          <w:tcPr>
            <w:tcW w:w="1350"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r>
              <w:rPr>
                <w:rFonts w:cstheme="minorHAnsi"/>
              </w:rPr>
              <w:t>5,000,000</w:t>
            </w:r>
          </w:p>
        </w:tc>
        <w:tc>
          <w:tcPr>
            <w:tcW w:w="1350"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r>
              <w:rPr>
                <w:rFonts w:cstheme="minorHAnsi"/>
              </w:rPr>
              <w:t>5,000,000</w:t>
            </w:r>
          </w:p>
        </w:tc>
        <w:tc>
          <w:tcPr>
            <w:tcW w:w="1278" w:type="dxa"/>
            <w:tcBorders>
              <w:left w:val="single" w:sz="4" w:space="0" w:color="auto"/>
              <w:right w:val="single" w:sz="4" w:space="0" w:color="auto"/>
            </w:tcBorders>
          </w:tcPr>
          <w:p w:rsidR="00D15F89" w:rsidRDefault="00D15F89"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p>
          <w:p w:rsidR="008064EA" w:rsidRDefault="008064EA" w:rsidP="008064EA">
            <w:pPr>
              <w:autoSpaceDE w:val="0"/>
              <w:autoSpaceDN w:val="0"/>
              <w:adjustRightInd w:val="0"/>
              <w:jc w:val="right"/>
              <w:rPr>
                <w:rFonts w:cstheme="minorHAnsi"/>
              </w:rPr>
            </w:pPr>
            <w:r>
              <w:rPr>
                <w:rFonts w:cstheme="minorHAnsi"/>
              </w:rPr>
              <w:t>100</w:t>
            </w:r>
          </w:p>
        </w:tc>
      </w:tr>
      <w:tr w:rsidR="00325F1F" w:rsidRPr="00325F1F" w:rsidTr="00A74549">
        <w:tc>
          <w:tcPr>
            <w:tcW w:w="3336" w:type="dxa"/>
            <w:tcBorders>
              <w:left w:val="single" w:sz="4" w:space="0" w:color="auto"/>
              <w:right w:val="single" w:sz="4" w:space="0" w:color="auto"/>
            </w:tcBorders>
          </w:tcPr>
          <w:p w:rsidR="00325F1F" w:rsidRPr="00325F1F" w:rsidRDefault="00325F1F" w:rsidP="00325F1F">
            <w:pPr>
              <w:autoSpaceDE w:val="0"/>
              <w:autoSpaceDN w:val="0"/>
              <w:adjustRightInd w:val="0"/>
              <w:rPr>
                <w:rFonts w:cstheme="minorHAnsi"/>
                <w:b/>
              </w:rPr>
            </w:pPr>
            <w:r w:rsidRPr="00325F1F">
              <w:rPr>
                <w:rFonts w:cstheme="minorHAnsi"/>
                <w:b/>
              </w:rPr>
              <w:t>Indirect subsidiary companies</w:t>
            </w:r>
          </w:p>
        </w:tc>
        <w:tc>
          <w:tcPr>
            <w:tcW w:w="1542" w:type="dxa"/>
            <w:tcBorders>
              <w:left w:val="single" w:sz="4" w:space="0" w:color="auto"/>
              <w:right w:val="single" w:sz="4" w:space="0" w:color="auto"/>
            </w:tcBorders>
          </w:tcPr>
          <w:p w:rsidR="00325F1F" w:rsidRPr="00325F1F" w:rsidRDefault="00325F1F" w:rsidP="008064EA">
            <w:pPr>
              <w:autoSpaceDE w:val="0"/>
              <w:autoSpaceDN w:val="0"/>
              <w:adjustRightInd w:val="0"/>
              <w:jc w:val="center"/>
              <w:rPr>
                <w:rFonts w:cstheme="minorHAnsi"/>
                <w:b/>
              </w:rPr>
            </w:pPr>
          </w:p>
        </w:tc>
        <w:tc>
          <w:tcPr>
            <w:tcW w:w="1350" w:type="dxa"/>
            <w:tcBorders>
              <w:left w:val="single" w:sz="4" w:space="0" w:color="auto"/>
              <w:right w:val="single" w:sz="4" w:space="0" w:color="auto"/>
            </w:tcBorders>
          </w:tcPr>
          <w:p w:rsidR="00325F1F" w:rsidRPr="00325F1F" w:rsidRDefault="00325F1F" w:rsidP="008064EA">
            <w:pPr>
              <w:autoSpaceDE w:val="0"/>
              <w:autoSpaceDN w:val="0"/>
              <w:adjustRightInd w:val="0"/>
              <w:jc w:val="right"/>
              <w:rPr>
                <w:rFonts w:cstheme="minorHAnsi"/>
                <w:b/>
              </w:rPr>
            </w:pPr>
          </w:p>
        </w:tc>
        <w:tc>
          <w:tcPr>
            <w:tcW w:w="1350" w:type="dxa"/>
            <w:tcBorders>
              <w:left w:val="single" w:sz="4" w:space="0" w:color="auto"/>
              <w:right w:val="single" w:sz="4" w:space="0" w:color="auto"/>
            </w:tcBorders>
          </w:tcPr>
          <w:p w:rsidR="00325F1F" w:rsidRPr="00325F1F" w:rsidRDefault="00325F1F" w:rsidP="008064EA">
            <w:pPr>
              <w:autoSpaceDE w:val="0"/>
              <w:autoSpaceDN w:val="0"/>
              <w:adjustRightInd w:val="0"/>
              <w:jc w:val="right"/>
              <w:rPr>
                <w:rFonts w:cstheme="minorHAnsi"/>
                <w:b/>
              </w:rPr>
            </w:pPr>
          </w:p>
        </w:tc>
        <w:tc>
          <w:tcPr>
            <w:tcW w:w="1278" w:type="dxa"/>
            <w:tcBorders>
              <w:left w:val="single" w:sz="4" w:space="0" w:color="auto"/>
              <w:right w:val="single" w:sz="4" w:space="0" w:color="auto"/>
            </w:tcBorders>
          </w:tcPr>
          <w:p w:rsidR="00325F1F" w:rsidRPr="00325F1F" w:rsidRDefault="00325F1F" w:rsidP="008064EA">
            <w:pPr>
              <w:autoSpaceDE w:val="0"/>
              <w:autoSpaceDN w:val="0"/>
              <w:adjustRightInd w:val="0"/>
              <w:jc w:val="right"/>
              <w:rPr>
                <w:rFonts w:cstheme="minorHAnsi"/>
                <w:b/>
              </w:rPr>
            </w:pPr>
          </w:p>
        </w:tc>
      </w:tr>
      <w:tr w:rsidR="00D15F89" w:rsidTr="00A74549">
        <w:tc>
          <w:tcPr>
            <w:tcW w:w="3336" w:type="dxa"/>
            <w:tcBorders>
              <w:left w:val="single" w:sz="4" w:space="0" w:color="auto"/>
              <w:right w:val="single" w:sz="4" w:space="0" w:color="auto"/>
            </w:tcBorders>
          </w:tcPr>
          <w:p w:rsidR="00D15F89" w:rsidRPr="00A74549" w:rsidRDefault="008064EA" w:rsidP="00A74549">
            <w:pPr>
              <w:pStyle w:val="ListParagraph"/>
              <w:numPr>
                <w:ilvl w:val="0"/>
                <w:numId w:val="13"/>
              </w:numPr>
              <w:autoSpaceDE w:val="0"/>
              <w:autoSpaceDN w:val="0"/>
              <w:adjustRightInd w:val="0"/>
              <w:rPr>
                <w:rFonts w:cstheme="minorHAnsi"/>
              </w:rPr>
            </w:pPr>
            <w:proofErr w:type="spellStart"/>
            <w:r w:rsidRPr="00A74549">
              <w:rPr>
                <w:rFonts w:cstheme="minorHAnsi"/>
              </w:rPr>
              <w:t>Insamewah</w:t>
            </w:r>
            <w:proofErr w:type="spellEnd"/>
            <w:r w:rsidRPr="00A74549">
              <w:rPr>
                <w:rFonts w:cstheme="minorHAnsi"/>
              </w:rPr>
              <w:t xml:space="preserve"> </w:t>
            </w:r>
            <w:proofErr w:type="spellStart"/>
            <w:r w:rsidRPr="00A74549">
              <w:rPr>
                <w:rFonts w:cstheme="minorHAnsi"/>
              </w:rPr>
              <w:t>Sdn</w:t>
            </w:r>
            <w:proofErr w:type="spellEnd"/>
            <w:r w:rsidRPr="00A74549">
              <w:rPr>
                <w:rFonts w:cstheme="minorHAnsi"/>
              </w:rPr>
              <w:t xml:space="preserve"> </w:t>
            </w:r>
            <w:proofErr w:type="spellStart"/>
            <w:r w:rsidRPr="00A74549">
              <w:rPr>
                <w:rFonts w:cstheme="minorHAnsi"/>
              </w:rPr>
              <w:t>Bhd</w:t>
            </w:r>
            <w:proofErr w:type="spellEnd"/>
            <w:r w:rsidR="008C62EF" w:rsidRPr="00A74549">
              <w:rPr>
                <w:rFonts w:cstheme="minorHAnsi"/>
              </w:rPr>
              <w:t xml:space="preserve"> (“ISB”)</w:t>
            </w:r>
          </w:p>
        </w:tc>
        <w:tc>
          <w:tcPr>
            <w:tcW w:w="1542" w:type="dxa"/>
            <w:tcBorders>
              <w:left w:val="single" w:sz="4" w:space="0" w:color="auto"/>
              <w:right w:val="single" w:sz="4" w:space="0" w:color="auto"/>
            </w:tcBorders>
          </w:tcPr>
          <w:p w:rsidR="00D15F89" w:rsidRDefault="008064EA" w:rsidP="00D15F89">
            <w:pPr>
              <w:autoSpaceDE w:val="0"/>
              <w:autoSpaceDN w:val="0"/>
              <w:adjustRightInd w:val="0"/>
              <w:jc w:val="center"/>
              <w:rPr>
                <w:rFonts w:cstheme="minorHAnsi"/>
              </w:rPr>
            </w:pPr>
            <w:r>
              <w:rPr>
                <w:rFonts w:cstheme="minorHAnsi"/>
              </w:rPr>
              <w:t>Construction</w:t>
            </w:r>
          </w:p>
        </w:tc>
        <w:tc>
          <w:tcPr>
            <w:tcW w:w="1350" w:type="dxa"/>
            <w:tcBorders>
              <w:left w:val="single" w:sz="4" w:space="0" w:color="auto"/>
              <w:right w:val="single" w:sz="4" w:space="0" w:color="auto"/>
            </w:tcBorders>
          </w:tcPr>
          <w:p w:rsidR="00D15F89" w:rsidRDefault="008064EA" w:rsidP="008064EA">
            <w:pPr>
              <w:autoSpaceDE w:val="0"/>
              <w:autoSpaceDN w:val="0"/>
              <w:adjustRightInd w:val="0"/>
              <w:jc w:val="right"/>
              <w:rPr>
                <w:rFonts w:cstheme="minorHAnsi"/>
              </w:rPr>
            </w:pPr>
            <w:r>
              <w:rPr>
                <w:rFonts w:cstheme="minorHAnsi"/>
              </w:rPr>
              <w:t>250,000</w:t>
            </w:r>
          </w:p>
        </w:tc>
        <w:tc>
          <w:tcPr>
            <w:tcW w:w="1350" w:type="dxa"/>
            <w:tcBorders>
              <w:left w:val="single" w:sz="4" w:space="0" w:color="auto"/>
              <w:right w:val="single" w:sz="4" w:space="0" w:color="auto"/>
            </w:tcBorders>
          </w:tcPr>
          <w:p w:rsidR="00D15F89" w:rsidRDefault="008064EA" w:rsidP="008064EA">
            <w:pPr>
              <w:autoSpaceDE w:val="0"/>
              <w:autoSpaceDN w:val="0"/>
              <w:adjustRightInd w:val="0"/>
              <w:jc w:val="right"/>
              <w:rPr>
                <w:rFonts w:cstheme="minorHAnsi"/>
              </w:rPr>
            </w:pPr>
            <w:r>
              <w:rPr>
                <w:rFonts w:cstheme="minorHAnsi"/>
              </w:rPr>
              <w:t>250,000</w:t>
            </w:r>
          </w:p>
        </w:tc>
        <w:tc>
          <w:tcPr>
            <w:tcW w:w="1278" w:type="dxa"/>
            <w:tcBorders>
              <w:left w:val="single" w:sz="4" w:space="0" w:color="auto"/>
              <w:right w:val="single" w:sz="4" w:space="0" w:color="auto"/>
            </w:tcBorders>
          </w:tcPr>
          <w:p w:rsidR="00D15F89" w:rsidRDefault="008064EA" w:rsidP="008064EA">
            <w:pPr>
              <w:autoSpaceDE w:val="0"/>
              <w:autoSpaceDN w:val="0"/>
              <w:adjustRightInd w:val="0"/>
              <w:jc w:val="right"/>
              <w:rPr>
                <w:rFonts w:cstheme="minorHAnsi"/>
              </w:rPr>
            </w:pPr>
            <w:r>
              <w:rPr>
                <w:rFonts w:cstheme="minorHAnsi"/>
              </w:rPr>
              <w:t>100</w:t>
            </w:r>
          </w:p>
        </w:tc>
      </w:tr>
      <w:tr w:rsidR="00D15F89" w:rsidTr="00A74549">
        <w:tc>
          <w:tcPr>
            <w:tcW w:w="3336" w:type="dxa"/>
            <w:tcBorders>
              <w:left w:val="single" w:sz="4" w:space="0" w:color="auto"/>
              <w:bottom w:val="single" w:sz="4" w:space="0" w:color="auto"/>
              <w:right w:val="single" w:sz="4" w:space="0" w:color="auto"/>
            </w:tcBorders>
          </w:tcPr>
          <w:p w:rsidR="00D15F89" w:rsidRPr="00A74549" w:rsidRDefault="008064EA" w:rsidP="00A74549">
            <w:pPr>
              <w:pStyle w:val="ListParagraph"/>
              <w:numPr>
                <w:ilvl w:val="0"/>
                <w:numId w:val="13"/>
              </w:numPr>
              <w:autoSpaceDE w:val="0"/>
              <w:autoSpaceDN w:val="0"/>
              <w:adjustRightInd w:val="0"/>
              <w:rPr>
                <w:rFonts w:cstheme="minorHAnsi"/>
              </w:rPr>
            </w:pPr>
            <w:proofErr w:type="spellStart"/>
            <w:r w:rsidRPr="00A74549">
              <w:rPr>
                <w:rFonts w:cstheme="minorHAnsi"/>
              </w:rPr>
              <w:t>Imej</w:t>
            </w:r>
            <w:proofErr w:type="spellEnd"/>
            <w:r w:rsidRPr="00A74549">
              <w:rPr>
                <w:rFonts w:cstheme="minorHAnsi"/>
              </w:rPr>
              <w:t xml:space="preserve"> </w:t>
            </w:r>
            <w:proofErr w:type="spellStart"/>
            <w:r w:rsidRPr="00A74549">
              <w:rPr>
                <w:rFonts w:cstheme="minorHAnsi"/>
              </w:rPr>
              <w:t>Mayang</w:t>
            </w:r>
            <w:proofErr w:type="spellEnd"/>
            <w:r w:rsidRPr="00A74549">
              <w:rPr>
                <w:rFonts w:cstheme="minorHAnsi"/>
              </w:rPr>
              <w:t xml:space="preserve"> </w:t>
            </w:r>
            <w:proofErr w:type="spellStart"/>
            <w:r w:rsidRPr="00A74549">
              <w:rPr>
                <w:rFonts w:cstheme="minorHAnsi"/>
              </w:rPr>
              <w:t>Sdn</w:t>
            </w:r>
            <w:proofErr w:type="spellEnd"/>
            <w:r w:rsidRPr="00A74549">
              <w:rPr>
                <w:rFonts w:cstheme="minorHAnsi"/>
              </w:rPr>
              <w:t xml:space="preserve"> </w:t>
            </w:r>
            <w:proofErr w:type="spellStart"/>
            <w:r w:rsidRPr="00A74549">
              <w:rPr>
                <w:rFonts w:cstheme="minorHAnsi"/>
              </w:rPr>
              <w:t>Bhd</w:t>
            </w:r>
            <w:proofErr w:type="spellEnd"/>
            <w:r w:rsidR="008C62EF" w:rsidRPr="00A74549">
              <w:rPr>
                <w:rFonts w:cstheme="minorHAnsi"/>
              </w:rPr>
              <w:t xml:space="preserve"> (“IMSB”)</w:t>
            </w:r>
          </w:p>
        </w:tc>
        <w:tc>
          <w:tcPr>
            <w:tcW w:w="1542" w:type="dxa"/>
            <w:tcBorders>
              <w:left w:val="single" w:sz="4" w:space="0" w:color="auto"/>
              <w:bottom w:val="single" w:sz="4" w:space="0" w:color="auto"/>
              <w:right w:val="single" w:sz="4" w:space="0" w:color="auto"/>
            </w:tcBorders>
          </w:tcPr>
          <w:p w:rsidR="00D15F89" w:rsidRDefault="008064EA" w:rsidP="00D15F89">
            <w:pPr>
              <w:autoSpaceDE w:val="0"/>
              <w:autoSpaceDN w:val="0"/>
              <w:adjustRightInd w:val="0"/>
              <w:jc w:val="center"/>
              <w:rPr>
                <w:rFonts w:cstheme="minorHAnsi"/>
              </w:rPr>
            </w:pPr>
            <w:r>
              <w:rPr>
                <w:rFonts w:cstheme="minorHAnsi"/>
              </w:rPr>
              <w:t>Construction</w:t>
            </w:r>
          </w:p>
        </w:tc>
        <w:tc>
          <w:tcPr>
            <w:tcW w:w="1350" w:type="dxa"/>
            <w:tcBorders>
              <w:left w:val="single" w:sz="4" w:space="0" w:color="auto"/>
              <w:bottom w:val="single" w:sz="4" w:space="0" w:color="auto"/>
              <w:right w:val="single" w:sz="4" w:space="0" w:color="auto"/>
            </w:tcBorders>
          </w:tcPr>
          <w:p w:rsidR="00D15F89" w:rsidRDefault="008064EA" w:rsidP="008064EA">
            <w:pPr>
              <w:autoSpaceDE w:val="0"/>
              <w:autoSpaceDN w:val="0"/>
              <w:adjustRightInd w:val="0"/>
              <w:jc w:val="right"/>
              <w:rPr>
                <w:rFonts w:cstheme="minorHAnsi"/>
              </w:rPr>
            </w:pPr>
            <w:r>
              <w:rPr>
                <w:rFonts w:cstheme="minorHAnsi"/>
              </w:rPr>
              <w:t>100,000</w:t>
            </w:r>
          </w:p>
        </w:tc>
        <w:tc>
          <w:tcPr>
            <w:tcW w:w="1350" w:type="dxa"/>
            <w:tcBorders>
              <w:left w:val="single" w:sz="4" w:space="0" w:color="auto"/>
              <w:bottom w:val="single" w:sz="4" w:space="0" w:color="auto"/>
              <w:right w:val="single" w:sz="4" w:space="0" w:color="auto"/>
            </w:tcBorders>
          </w:tcPr>
          <w:p w:rsidR="00D15F89" w:rsidRDefault="008064EA" w:rsidP="008064EA">
            <w:pPr>
              <w:autoSpaceDE w:val="0"/>
              <w:autoSpaceDN w:val="0"/>
              <w:adjustRightInd w:val="0"/>
              <w:jc w:val="right"/>
              <w:rPr>
                <w:rFonts w:cstheme="minorHAnsi"/>
              </w:rPr>
            </w:pPr>
            <w:r>
              <w:rPr>
                <w:rFonts w:cstheme="minorHAnsi"/>
              </w:rPr>
              <w:t>100,000</w:t>
            </w:r>
          </w:p>
        </w:tc>
        <w:tc>
          <w:tcPr>
            <w:tcW w:w="1278" w:type="dxa"/>
            <w:tcBorders>
              <w:left w:val="single" w:sz="4" w:space="0" w:color="auto"/>
              <w:bottom w:val="single" w:sz="4" w:space="0" w:color="auto"/>
              <w:right w:val="single" w:sz="4" w:space="0" w:color="auto"/>
            </w:tcBorders>
          </w:tcPr>
          <w:p w:rsidR="00D15F89" w:rsidRDefault="008064EA" w:rsidP="008064EA">
            <w:pPr>
              <w:autoSpaceDE w:val="0"/>
              <w:autoSpaceDN w:val="0"/>
              <w:adjustRightInd w:val="0"/>
              <w:jc w:val="right"/>
              <w:rPr>
                <w:rFonts w:cstheme="minorHAnsi"/>
              </w:rPr>
            </w:pPr>
            <w:r>
              <w:rPr>
                <w:rFonts w:cstheme="minorHAnsi"/>
              </w:rPr>
              <w:t>100</w:t>
            </w:r>
          </w:p>
        </w:tc>
      </w:tr>
    </w:tbl>
    <w:p w:rsidR="00BC6990" w:rsidRDefault="00BC6990" w:rsidP="00BC6990">
      <w:pPr>
        <w:autoSpaceDE w:val="0"/>
        <w:autoSpaceDN w:val="0"/>
        <w:adjustRightInd w:val="0"/>
        <w:spacing w:after="0" w:line="240" w:lineRule="auto"/>
        <w:ind w:left="720"/>
        <w:jc w:val="both"/>
        <w:rPr>
          <w:rFonts w:cstheme="minorHAnsi"/>
        </w:rPr>
      </w:pPr>
    </w:p>
    <w:p w:rsidR="008C62EF" w:rsidRDefault="008C62EF" w:rsidP="00BC6990">
      <w:pPr>
        <w:autoSpaceDE w:val="0"/>
        <w:autoSpaceDN w:val="0"/>
        <w:adjustRightInd w:val="0"/>
        <w:spacing w:after="0" w:line="240" w:lineRule="auto"/>
        <w:ind w:left="720"/>
        <w:jc w:val="both"/>
        <w:rPr>
          <w:rFonts w:cstheme="minorHAnsi"/>
        </w:rPr>
      </w:pPr>
      <w:r>
        <w:rPr>
          <w:rFonts w:cstheme="minorHAnsi"/>
        </w:rPr>
        <w:t xml:space="preserve">The acquisition of PMSB </w:t>
      </w:r>
      <w:r w:rsidR="00E426EC">
        <w:rPr>
          <w:rFonts w:cstheme="minorHAnsi"/>
        </w:rPr>
        <w:t xml:space="preserve">(including ISB and IMSB) </w:t>
      </w:r>
      <w:r>
        <w:rPr>
          <w:rFonts w:cstheme="minorHAnsi"/>
        </w:rPr>
        <w:t xml:space="preserve">by PMHB is </w:t>
      </w:r>
      <w:r w:rsidR="00325F1F">
        <w:rPr>
          <w:rFonts w:cstheme="minorHAnsi"/>
        </w:rPr>
        <w:t xml:space="preserve">accounted for under the reverse acquisition accounting as PMSB is identified as the acquirer that obtains control of the other entities or businesses. Accordingly, the </w:t>
      </w:r>
      <w:proofErr w:type="spellStart"/>
      <w:r w:rsidR="00325F1F">
        <w:rPr>
          <w:rFonts w:cstheme="minorHAnsi"/>
        </w:rPr>
        <w:t>proforma</w:t>
      </w:r>
      <w:proofErr w:type="spellEnd"/>
      <w:r w:rsidR="00325F1F">
        <w:rPr>
          <w:rFonts w:cstheme="minorHAnsi"/>
        </w:rPr>
        <w:t xml:space="preserve"> Group’s consolidated financial statements represents a continuation of the financial statements of its legal subsidiary company i.e. PMSB.</w:t>
      </w:r>
    </w:p>
    <w:p w:rsidR="00E426EC" w:rsidRDefault="00E426EC" w:rsidP="00BC6990">
      <w:pPr>
        <w:autoSpaceDE w:val="0"/>
        <w:autoSpaceDN w:val="0"/>
        <w:adjustRightInd w:val="0"/>
        <w:spacing w:after="0" w:line="240" w:lineRule="auto"/>
        <w:ind w:left="720"/>
        <w:jc w:val="both"/>
        <w:rPr>
          <w:rFonts w:cstheme="minorHAnsi"/>
        </w:rPr>
      </w:pPr>
    </w:p>
    <w:p w:rsidR="00E426EC" w:rsidRDefault="00191A8F" w:rsidP="00BC6990">
      <w:pPr>
        <w:autoSpaceDE w:val="0"/>
        <w:autoSpaceDN w:val="0"/>
        <w:adjustRightInd w:val="0"/>
        <w:spacing w:after="0" w:line="240" w:lineRule="auto"/>
        <w:ind w:left="720"/>
        <w:jc w:val="both"/>
        <w:rPr>
          <w:rFonts w:cstheme="minorHAnsi"/>
        </w:rPr>
      </w:pPr>
      <w:r>
        <w:rPr>
          <w:rFonts w:cstheme="minorHAnsi"/>
        </w:rPr>
        <w:t xml:space="preserve">As part of the Proposed Scheme of Arrangement with shareholders of </w:t>
      </w:r>
      <w:proofErr w:type="spellStart"/>
      <w:r>
        <w:rPr>
          <w:rFonts w:cstheme="minorHAnsi"/>
        </w:rPr>
        <w:t>Mithril</w:t>
      </w:r>
      <w:proofErr w:type="spellEnd"/>
      <w:r>
        <w:rPr>
          <w:rFonts w:cstheme="minorHAnsi"/>
        </w:rPr>
        <w:t xml:space="preserve"> </w:t>
      </w:r>
      <w:proofErr w:type="spellStart"/>
      <w:r>
        <w:rPr>
          <w:rFonts w:cstheme="minorHAnsi"/>
        </w:rPr>
        <w:t>Berhad</w:t>
      </w:r>
      <w:proofErr w:type="spellEnd"/>
      <w:r>
        <w:rPr>
          <w:rFonts w:cstheme="minorHAnsi"/>
        </w:rPr>
        <w:t>, the entire equity interest in PSSB was transferred to PMHB on 28 September</w:t>
      </w:r>
      <w:r w:rsidR="002B566D">
        <w:rPr>
          <w:rFonts w:cstheme="minorHAnsi"/>
        </w:rPr>
        <w:t xml:space="preserve"> 2012. Accordingly, PSSB became</w:t>
      </w:r>
      <w:r>
        <w:rPr>
          <w:rFonts w:cstheme="minorHAnsi"/>
        </w:rPr>
        <w:t xml:space="preserve"> the direct subsidiary of PMHB</w:t>
      </w:r>
      <w:r w:rsidR="00EE705D">
        <w:rPr>
          <w:rFonts w:cstheme="minorHAnsi"/>
        </w:rPr>
        <w:t xml:space="preserve"> during the quarter</w:t>
      </w:r>
      <w:r>
        <w:rPr>
          <w:rFonts w:cstheme="minorHAnsi"/>
        </w:rPr>
        <w:t>.</w:t>
      </w:r>
      <w:r w:rsidR="00E426EC">
        <w:rPr>
          <w:rFonts w:cstheme="minorHAnsi"/>
        </w:rPr>
        <w:t xml:space="preserve"> </w:t>
      </w:r>
    </w:p>
    <w:p w:rsidR="00191A8F" w:rsidRDefault="00191A8F" w:rsidP="00BC6990">
      <w:pPr>
        <w:autoSpaceDE w:val="0"/>
        <w:autoSpaceDN w:val="0"/>
        <w:adjustRightInd w:val="0"/>
        <w:spacing w:after="0" w:line="240" w:lineRule="auto"/>
        <w:ind w:left="720"/>
        <w:jc w:val="both"/>
        <w:rPr>
          <w:rFonts w:cstheme="minorHAnsi"/>
        </w:rPr>
      </w:pPr>
    </w:p>
    <w:p w:rsidR="00BC6990" w:rsidRPr="008064EA" w:rsidRDefault="008064EA" w:rsidP="00BC6990">
      <w:pPr>
        <w:autoSpaceDE w:val="0"/>
        <w:autoSpaceDN w:val="0"/>
        <w:adjustRightInd w:val="0"/>
        <w:spacing w:after="0" w:line="240" w:lineRule="auto"/>
        <w:rPr>
          <w:rFonts w:cstheme="minorHAnsi"/>
          <w:b/>
          <w:bCs/>
        </w:rPr>
      </w:pPr>
      <w:r w:rsidRPr="008064EA">
        <w:rPr>
          <w:rFonts w:cstheme="minorHAnsi"/>
          <w:b/>
          <w:bCs/>
        </w:rPr>
        <w:t>A.13</w:t>
      </w:r>
      <w:r w:rsidRPr="008064EA">
        <w:rPr>
          <w:rFonts w:cstheme="minorHAnsi"/>
          <w:b/>
          <w:bCs/>
        </w:rPr>
        <w:tab/>
      </w:r>
      <w:r w:rsidR="00BC6990" w:rsidRPr="008064EA">
        <w:rPr>
          <w:rFonts w:cstheme="minorHAnsi"/>
          <w:b/>
          <w:bCs/>
        </w:rPr>
        <w:t>Capital Commitments</w:t>
      </w:r>
    </w:p>
    <w:p w:rsidR="008064EA" w:rsidRDefault="008064EA" w:rsidP="00BC6990">
      <w:pPr>
        <w:autoSpaceDE w:val="0"/>
        <w:autoSpaceDN w:val="0"/>
        <w:adjustRightInd w:val="0"/>
        <w:spacing w:after="0" w:line="240" w:lineRule="auto"/>
        <w:rPr>
          <w:rFonts w:ascii="Times New Roman" w:hAnsi="Times New Roman" w:cs="Times New Roman"/>
          <w:b/>
          <w:bCs/>
          <w:sz w:val="18"/>
          <w:szCs w:val="18"/>
        </w:rPr>
      </w:pPr>
    </w:p>
    <w:p w:rsidR="008064EA" w:rsidRDefault="00F56BA1" w:rsidP="00EE705D">
      <w:pPr>
        <w:autoSpaceDE w:val="0"/>
        <w:autoSpaceDN w:val="0"/>
        <w:adjustRightInd w:val="0"/>
        <w:spacing w:after="0" w:line="240" w:lineRule="auto"/>
        <w:ind w:left="720"/>
        <w:jc w:val="both"/>
        <w:rPr>
          <w:rFonts w:cstheme="minorHAnsi"/>
        </w:rPr>
      </w:pPr>
      <w:r>
        <w:rPr>
          <w:rFonts w:cstheme="minorHAnsi"/>
        </w:rPr>
        <w:t>There were</w:t>
      </w:r>
      <w:r w:rsidR="00191A8F">
        <w:rPr>
          <w:rFonts w:cstheme="minorHAnsi"/>
        </w:rPr>
        <w:t xml:space="preserve"> no </w:t>
      </w:r>
      <w:proofErr w:type="gramStart"/>
      <w:r w:rsidR="00191A8F">
        <w:rPr>
          <w:rFonts w:cstheme="minorHAnsi"/>
        </w:rPr>
        <w:t>capital</w:t>
      </w:r>
      <w:proofErr w:type="gramEnd"/>
      <w:r w:rsidR="00191A8F">
        <w:rPr>
          <w:rFonts w:cstheme="minorHAnsi"/>
        </w:rPr>
        <w:t xml:space="preserve"> commitments approved and contracted for as at the end of the quarter under review.</w:t>
      </w:r>
    </w:p>
    <w:p w:rsidR="002579B7" w:rsidRDefault="002579B7">
      <w:pPr>
        <w:rPr>
          <w:rFonts w:cstheme="minorHAnsi"/>
          <w:b/>
          <w:bCs/>
        </w:rPr>
      </w:pPr>
      <w:r>
        <w:rPr>
          <w:rFonts w:cstheme="minorHAnsi"/>
          <w:b/>
          <w:bCs/>
        </w:rPr>
        <w:br w:type="page"/>
      </w:r>
    </w:p>
    <w:p w:rsidR="002579B7" w:rsidRPr="002F1C6E" w:rsidRDefault="002579B7" w:rsidP="002579B7">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2579B7" w:rsidRDefault="002579B7" w:rsidP="00E91F43">
      <w:pPr>
        <w:pStyle w:val="NoSpacing"/>
        <w:ind w:left="720" w:hanging="720"/>
        <w:jc w:val="both"/>
        <w:rPr>
          <w:b/>
        </w:rPr>
      </w:pPr>
      <w:r w:rsidRPr="00177BA4">
        <w:rPr>
          <w:b/>
        </w:rPr>
        <w:t>A.</w:t>
      </w:r>
      <w:r>
        <w:rPr>
          <w:b/>
        </w:rPr>
        <w:tab/>
        <w:t xml:space="preserve">EXPLANATORY NOTES PURSUANT TO </w:t>
      </w:r>
      <w:r w:rsidR="00E91F43">
        <w:rPr>
          <w:b/>
        </w:rPr>
        <w:t xml:space="preserve">MALAYSIAN </w:t>
      </w:r>
      <w:r>
        <w:rPr>
          <w:b/>
        </w:rPr>
        <w:t>FINANCIAL REPORTING STANDARD (“</w:t>
      </w:r>
      <w:r w:rsidR="00E91F43">
        <w:rPr>
          <w:b/>
        </w:rPr>
        <w:t>M</w:t>
      </w:r>
      <w:r>
        <w:rPr>
          <w:b/>
        </w:rPr>
        <w:t>FRS”) 134: INTERIM FINANCIAL REPORTING</w:t>
      </w:r>
    </w:p>
    <w:p w:rsidR="002579B7" w:rsidRDefault="002579B7" w:rsidP="00BC6990">
      <w:pPr>
        <w:autoSpaceDE w:val="0"/>
        <w:autoSpaceDN w:val="0"/>
        <w:adjustRightInd w:val="0"/>
        <w:spacing w:after="0" w:line="240" w:lineRule="auto"/>
        <w:rPr>
          <w:rFonts w:cstheme="minorHAnsi"/>
          <w:b/>
          <w:bCs/>
        </w:rPr>
      </w:pPr>
    </w:p>
    <w:p w:rsidR="00BC6990" w:rsidRDefault="00191A8F" w:rsidP="00BC6990">
      <w:pPr>
        <w:autoSpaceDE w:val="0"/>
        <w:autoSpaceDN w:val="0"/>
        <w:adjustRightInd w:val="0"/>
        <w:spacing w:after="0" w:line="240" w:lineRule="auto"/>
        <w:rPr>
          <w:rFonts w:cstheme="minorHAnsi"/>
          <w:b/>
          <w:bCs/>
        </w:rPr>
      </w:pPr>
      <w:r>
        <w:rPr>
          <w:rFonts w:cstheme="minorHAnsi"/>
          <w:b/>
          <w:bCs/>
        </w:rPr>
        <w:t>A</w:t>
      </w:r>
      <w:r w:rsidR="00BC6990" w:rsidRPr="00191A8F">
        <w:rPr>
          <w:rFonts w:cstheme="minorHAnsi"/>
          <w:b/>
          <w:bCs/>
        </w:rPr>
        <w:t xml:space="preserve">14. </w:t>
      </w:r>
      <w:r>
        <w:rPr>
          <w:rFonts w:cstheme="minorHAnsi"/>
          <w:b/>
          <w:bCs/>
        </w:rPr>
        <w:tab/>
      </w:r>
      <w:r w:rsidR="00BC6990" w:rsidRPr="00191A8F">
        <w:rPr>
          <w:rFonts w:cstheme="minorHAnsi"/>
          <w:b/>
          <w:bCs/>
        </w:rPr>
        <w:t>Changes in Contingent Liabilities</w:t>
      </w:r>
    </w:p>
    <w:p w:rsidR="00191A8F" w:rsidRDefault="00191A8F" w:rsidP="00BC6990">
      <w:pPr>
        <w:autoSpaceDE w:val="0"/>
        <w:autoSpaceDN w:val="0"/>
        <w:adjustRightInd w:val="0"/>
        <w:spacing w:after="0" w:line="240" w:lineRule="auto"/>
        <w:rPr>
          <w:rFonts w:cstheme="minorHAnsi"/>
          <w:b/>
          <w:bCs/>
        </w:rPr>
      </w:pPr>
    </w:p>
    <w:p w:rsidR="002579B7" w:rsidRDefault="002579B7" w:rsidP="00BC6990">
      <w:pPr>
        <w:autoSpaceDE w:val="0"/>
        <w:autoSpaceDN w:val="0"/>
        <w:adjustRightInd w:val="0"/>
        <w:spacing w:after="0" w:line="240" w:lineRule="auto"/>
        <w:rPr>
          <w:rFonts w:cstheme="minorHAnsi"/>
          <w:bCs/>
        </w:rPr>
      </w:pPr>
      <w:r>
        <w:rPr>
          <w:rFonts w:cstheme="minorHAnsi"/>
          <w:b/>
          <w:bCs/>
        </w:rPr>
        <w:tab/>
      </w:r>
      <w:r>
        <w:rPr>
          <w:rFonts w:cstheme="minorHAnsi"/>
          <w:bCs/>
        </w:rPr>
        <w:t>The contingent liabilities as at 30 September 2012 are as follows:-</w:t>
      </w:r>
    </w:p>
    <w:p w:rsidR="002579B7" w:rsidRDefault="002579B7" w:rsidP="00BC6990">
      <w:pPr>
        <w:autoSpaceDE w:val="0"/>
        <w:autoSpaceDN w:val="0"/>
        <w:adjustRightInd w:val="0"/>
        <w:spacing w:after="0" w:line="240" w:lineRule="auto"/>
        <w:rPr>
          <w:rFonts w:cstheme="minorHAnsi"/>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18"/>
      </w:tblGrid>
      <w:tr w:rsidR="002579B7" w:rsidTr="00BB5EBB">
        <w:tc>
          <w:tcPr>
            <w:tcW w:w="7020" w:type="dxa"/>
          </w:tcPr>
          <w:p w:rsidR="002579B7" w:rsidRDefault="002579B7" w:rsidP="00BC6990">
            <w:pPr>
              <w:autoSpaceDE w:val="0"/>
              <w:autoSpaceDN w:val="0"/>
              <w:adjustRightInd w:val="0"/>
              <w:rPr>
                <w:rFonts w:cstheme="minorHAnsi"/>
                <w:bCs/>
              </w:rPr>
            </w:pPr>
          </w:p>
        </w:tc>
        <w:tc>
          <w:tcPr>
            <w:tcW w:w="1818" w:type="dxa"/>
          </w:tcPr>
          <w:p w:rsidR="002579B7" w:rsidRDefault="002579B7" w:rsidP="00EB4840">
            <w:pPr>
              <w:autoSpaceDE w:val="0"/>
              <w:autoSpaceDN w:val="0"/>
              <w:adjustRightInd w:val="0"/>
              <w:jc w:val="right"/>
              <w:rPr>
                <w:rFonts w:cstheme="minorHAnsi"/>
                <w:bCs/>
              </w:rPr>
            </w:pPr>
            <w:r>
              <w:rPr>
                <w:rFonts w:cstheme="minorHAnsi"/>
                <w:bCs/>
              </w:rPr>
              <w:t>As at</w:t>
            </w:r>
          </w:p>
        </w:tc>
      </w:tr>
      <w:tr w:rsidR="002579B7" w:rsidTr="00BB5EBB">
        <w:tc>
          <w:tcPr>
            <w:tcW w:w="7020" w:type="dxa"/>
          </w:tcPr>
          <w:p w:rsidR="002579B7" w:rsidRDefault="002579B7" w:rsidP="00BC6990">
            <w:pPr>
              <w:autoSpaceDE w:val="0"/>
              <w:autoSpaceDN w:val="0"/>
              <w:adjustRightInd w:val="0"/>
              <w:rPr>
                <w:rFonts w:cstheme="minorHAnsi"/>
                <w:bCs/>
              </w:rPr>
            </w:pPr>
          </w:p>
        </w:tc>
        <w:tc>
          <w:tcPr>
            <w:tcW w:w="1818" w:type="dxa"/>
          </w:tcPr>
          <w:p w:rsidR="002579B7" w:rsidRDefault="002579B7" w:rsidP="00EB4840">
            <w:pPr>
              <w:autoSpaceDE w:val="0"/>
              <w:autoSpaceDN w:val="0"/>
              <w:adjustRightInd w:val="0"/>
              <w:jc w:val="right"/>
              <w:rPr>
                <w:rFonts w:cstheme="minorHAnsi"/>
                <w:bCs/>
              </w:rPr>
            </w:pPr>
            <w:r>
              <w:rPr>
                <w:rFonts w:cstheme="minorHAnsi"/>
                <w:bCs/>
              </w:rPr>
              <w:t>30.9.2012</w:t>
            </w:r>
          </w:p>
        </w:tc>
      </w:tr>
      <w:tr w:rsidR="002579B7" w:rsidTr="00BB5EBB">
        <w:tc>
          <w:tcPr>
            <w:tcW w:w="7020" w:type="dxa"/>
          </w:tcPr>
          <w:p w:rsidR="002579B7" w:rsidRDefault="002579B7" w:rsidP="00BC6990">
            <w:pPr>
              <w:autoSpaceDE w:val="0"/>
              <w:autoSpaceDN w:val="0"/>
              <w:adjustRightInd w:val="0"/>
              <w:rPr>
                <w:rFonts w:cstheme="minorHAnsi"/>
                <w:bCs/>
              </w:rPr>
            </w:pPr>
          </w:p>
        </w:tc>
        <w:tc>
          <w:tcPr>
            <w:tcW w:w="1818" w:type="dxa"/>
          </w:tcPr>
          <w:p w:rsidR="002579B7" w:rsidRDefault="002579B7" w:rsidP="00EB4840">
            <w:pPr>
              <w:autoSpaceDE w:val="0"/>
              <w:autoSpaceDN w:val="0"/>
              <w:adjustRightInd w:val="0"/>
              <w:jc w:val="right"/>
              <w:rPr>
                <w:rFonts w:cstheme="minorHAnsi"/>
                <w:bCs/>
              </w:rPr>
            </w:pPr>
            <w:r>
              <w:rPr>
                <w:rFonts w:cstheme="minorHAnsi"/>
                <w:bCs/>
              </w:rPr>
              <w:t>RM’000</w:t>
            </w:r>
          </w:p>
        </w:tc>
      </w:tr>
      <w:tr w:rsidR="002579B7" w:rsidTr="00BB5EBB">
        <w:tc>
          <w:tcPr>
            <w:tcW w:w="7020" w:type="dxa"/>
          </w:tcPr>
          <w:p w:rsidR="002579B7" w:rsidRDefault="002579B7" w:rsidP="00BC6990">
            <w:pPr>
              <w:autoSpaceDE w:val="0"/>
              <w:autoSpaceDN w:val="0"/>
              <w:adjustRightInd w:val="0"/>
              <w:rPr>
                <w:rFonts w:cstheme="minorHAnsi"/>
                <w:bCs/>
              </w:rPr>
            </w:pPr>
          </w:p>
        </w:tc>
        <w:tc>
          <w:tcPr>
            <w:tcW w:w="1818" w:type="dxa"/>
          </w:tcPr>
          <w:p w:rsidR="002579B7" w:rsidRDefault="002579B7" w:rsidP="00EB4840">
            <w:pPr>
              <w:autoSpaceDE w:val="0"/>
              <w:autoSpaceDN w:val="0"/>
              <w:adjustRightInd w:val="0"/>
              <w:jc w:val="right"/>
              <w:rPr>
                <w:rFonts w:cstheme="minorHAnsi"/>
                <w:bCs/>
              </w:rPr>
            </w:pPr>
          </w:p>
        </w:tc>
      </w:tr>
      <w:tr w:rsidR="002579B7" w:rsidTr="00BB5EBB">
        <w:tc>
          <w:tcPr>
            <w:tcW w:w="7020" w:type="dxa"/>
          </w:tcPr>
          <w:p w:rsidR="002579B7" w:rsidRDefault="00BB5EBB" w:rsidP="00BC6990">
            <w:pPr>
              <w:autoSpaceDE w:val="0"/>
              <w:autoSpaceDN w:val="0"/>
              <w:adjustRightInd w:val="0"/>
              <w:rPr>
                <w:rFonts w:cstheme="minorHAnsi"/>
                <w:bCs/>
              </w:rPr>
            </w:pPr>
            <w:r>
              <w:rPr>
                <w:rFonts w:cstheme="minorHAnsi"/>
                <w:bCs/>
              </w:rPr>
              <w:t>Bank guarantees issued</w:t>
            </w:r>
            <w:r w:rsidR="002579B7">
              <w:rPr>
                <w:rFonts w:cstheme="minorHAnsi"/>
                <w:bCs/>
              </w:rPr>
              <w:t xml:space="preserve"> by licensed banks</w:t>
            </w:r>
            <w:r w:rsidR="00EB4840">
              <w:rPr>
                <w:rFonts w:cstheme="minorHAnsi"/>
                <w:bCs/>
              </w:rPr>
              <w:t xml:space="preserve"> in respect of construction projects</w:t>
            </w:r>
          </w:p>
          <w:p w:rsidR="00EB4840" w:rsidRPr="00EB4840" w:rsidRDefault="00EB4840" w:rsidP="00EB4840">
            <w:pPr>
              <w:pStyle w:val="ListParagraph"/>
              <w:numPr>
                <w:ilvl w:val="0"/>
                <w:numId w:val="12"/>
              </w:numPr>
              <w:autoSpaceDE w:val="0"/>
              <w:autoSpaceDN w:val="0"/>
              <w:adjustRightInd w:val="0"/>
              <w:rPr>
                <w:rFonts w:cstheme="minorHAnsi"/>
                <w:bCs/>
              </w:rPr>
            </w:pPr>
            <w:r>
              <w:rPr>
                <w:rFonts w:cstheme="minorHAnsi"/>
                <w:bCs/>
              </w:rPr>
              <w:t>Secured via placement of fixed deposits</w:t>
            </w:r>
          </w:p>
        </w:tc>
        <w:tc>
          <w:tcPr>
            <w:tcW w:w="1818" w:type="dxa"/>
            <w:tcBorders>
              <w:bottom w:val="single" w:sz="4" w:space="0" w:color="auto"/>
            </w:tcBorders>
          </w:tcPr>
          <w:p w:rsidR="002579B7" w:rsidRDefault="002579B7" w:rsidP="00EB4840">
            <w:pPr>
              <w:autoSpaceDE w:val="0"/>
              <w:autoSpaceDN w:val="0"/>
              <w:adjustRightInd w:val="0"/>
              <w:jc w:val="right"/>
              <w:rPr>
                <w:rFonts w:cstheme="minorHAnsi"/>
                <w:bCs/>
              </w:rPr>
            </w:pPr>
          </w:p>
          <w:p w:rsidR="00BB5EBB" w:rsidRDefault="00BB5EBB" w:rsidP="00EB4840">
            <w:pPr>
              <w:autoSpaceDE w:val="0"/>
              <w:autoSpaceDN w:val="0"/>
              <w:adjustRightInd w:val="0"/>
              <w:jc w:val="right"/>
              <w:rPr>
                <w:rFonts w:cstheme="minorHAnsi"/>
                <w:bCs/>
              </w:rPr>
            </w:pPr>
          </w:p>
          <w:p w:rsidR="00EB4840" w:rsidRDefault="00BB5EBB" w:rsidP="00EB4840">
            <w:pPr>
              <w:autoSpaceDE w:val="0"/>
              <w:autoSpaceDN w:val="0"/>
              <w:adjustRightInd w:val="0"/>
              <w:jc w:val="right"/>
              <w:rPr>
                <w:rFonts w:cstheme="minorHAnsi"/>
                <w:bCs/>
              </w:rPr>
            </w:pPr>
            <w:r>
              <w:rPr>
                <w:rFonts w:cstheme="minorHAnsi"/>
                <w:bCs/>
              </w:rPr>
              <w:t>59,751</w:t>
            </w:r>
          </w:p>
        </w:tc>
      </w:tr>
    </w:tbl>
    <w:p w:rsidR="002579B7" w:rsidRDefault="002579B7" w:rsidP="00BC6990">
      <w:pPr>
        <w:autoSpaceDE w:val="0"/>
        <w:autoSpaceDN w:val="0"/>
        <w:adjustRightInd w:val="0"/>
        <w:spacing w:after="0" w:line="240" w:lineRule="auto"/>
        <w:rPr>
          <w:rFonts w:cstheme="minorHAnsi"/>
          <w:bCs/>
        </w:rPr>
      </w:pPr>
    </w:p>
    <w:p w:rsidR="001A7FAC" w:rsidRDefault="001A7FAC" w:rsidP="001A7FAC">
      <w:pPr>
        <w:autoSpaceDE w:val="0"/>
        <w:autoSpaceDN w:val="0"/>
        <w:adjustRightInd w:val="0"/>
        <w:spacing w:after="0" w:line="240" w:lineRule="auto"/>
        <w:rPr>
          <w:rFonts w:cstheme="minorHAnsi"/>
          <w:b/>
          <w:bCs/>
        </w:rPr>
      </w:pPr>
      <w:r>
        <w:rPr>
          <w:rFonts w:cstheme="minorHAnsi"/>
          <w:b/>
          <w:bCs/>
        </w:rPr>
        <w:t>A15</w:t>
      </w:r>
      <w:r w:rsidRPr="00191A8F">
        <w:rPr>
          <w:rFonts w:cstheme="minorHAnsi"/>
          <w:b/>
          <w:bCs/>
        </w:rPr>
        <w:t xml:space="preserve">. </w:t>
      </w:r>
      <w:r>
        <w:rPr>
          <w:rFonts w:cstheme="minorHAnsi"/>
          <w:b/>
          <w:bCs/>
        </w:rPr>
        <w:tab/>
        <w:t>Significant Related Party Transactions</w:t>
      </w:r>
    </w:p>
    <w:p w:rsidR="001A7FAC" w:rsidRDefault="001A7FAC" w:rsidP="001A7FAC">
      <w:pPr>
        <w:autoSpaceDE w:val="0"/>
        <w:autoSpaceDN w:val="0"/>
        <w:adjustRightInd w:val="0"/>
        <w:spacing w:after="0" w:line="240" w:lineRule="auto"/>
        <w:rPr>
          <w:rFonts w:cstheme="minorHAnsi"/>
          <w:b/>
          <w:bCs/>
        </w:rPr>
      </w:pPr>
    </w:p>
    <w:p w:rsidR="001A7FAC" w:rsidRDefault="001A7FAC" w:rsidP="00BB5EBB">
      <w:pPr>
        <w:autoSpaceDE w:val="0"/>
        <w:autoSpaceDN w:val="0"/>
        <w:adjustRightInd w:val="0"/>
        <w:spacing w:after="0" w:line="240" w:lineRule="auto"/>
        <w:ind w:left="720"/>
        <w:rPr>
          <w:rFonts w:cstheme="minorHAnsi"/>
          <w:bCs/>
        </w:rPr>
      </w:pPr>
      <w:r>
        <w:rPr>
          <w:rFonts w:cstheme="minorHAnsi"/>
          <w:bCs/>
        </w:rPr>
        <w:t xml:space="preserve">The </w:t>
      </w:r>
      <w:r w:rsidR="00957667">
        <w:rPr>
          <w:rFonts w:cstheme="minorHAnsi"/>
          <w:bCs/>
        </w:rPr>
        <w:t xml:space="preserve">significant related party transactions during the quarter under review in which a director </w:t>
      </w:r>
      <w:r w:rsidR="00BB5EBB">
        <w:rPr>
          <w:rFonts w:cstheme="minorHAnsi"/>
          <w:bCs/>
        </w:rPr>
        <w:t xml:space="preserve">of the Company has substantial financial interest are as follows:- </w:t>
      </w:r>
    </w:p>
    <w:p w:rsidR="001A7FAC" w:rsidRDefault="001A7FAC" w:rsidP="001A7FAC">
      <w:pPr>
        <w:autoSpaceDE w:val="0"/>
        <w:autoSpaceDN w:val="0"/>
        <w:adjustRightInd w:val="0"/>
        <w:spacing w:after="0" w:line="240" w:lineRule="auto"/>
        <w:rPr>
          <w:rFonts w:cstheme="minorHAnsi"/>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BB5EBB" w:rsidTr="00D208FE">
        <w:tc>
          <w:tcPr>
            <w:tcW w:w="5776" w:type="dxa"/>
          </w:tcPr>
          <w:p w:rsidR="00BB5EBB" w:rsidRDefault="00BB5EBB" w:rsidP="00BB5EBB">
            <w:pPr>
              <w:autoSpaceDE w:val="0"/>
              <w:autoSpaceDN w:val="0"/>
              <w:adjustRightInd w:val="0"/>
              <w:rPr>
                <w:rFonts w:cstheme="minorHAnsi"/>
                <w:bCs/>
              </w:rPr>
            </w:pPr>
          </w:p>
        </w:tc>
        <w:tc>
          <w:tcPr>
            <w:tcW w:w="1641" w:type="dxa"/>
          </w:tcPr>
          <w:p w:rsidR="00BB5EBB" w:rsidRPr="00BB5EBB" w:rsidRDefault="00BB5EBB" w:rsidP="00BB5EBB">
            <w:pPr>
              <w:pStyle w:val="NoSpacing"/>
              <w:jc w:val="right"/>
            </w:pPr>
            <w:r w:rsidRPr="00BB5EBB">
              <w:t>Current</w:t>
            </w:r>
          </w:p>
        </w:tc>
        <w:tc>
          <w:tcPr>
            <w:tcW w:w="1421" w:type="dxa"/>
          </w:tcPr>
          <w:p w:rsidR="00BB5EBB" w:rsidRPr="00BB5EBB" w:rsidRDefault="00BB5EBB" w:rsidP="00BB5EBB">
            <w:pPr>
              <w:pStyle w:val="NoSpacing"/>
              <w:jc w:val="right"/>
            </w:pPr>
            <w:r>
              <w:t>Current</w:t>
            </w:r>
          </w:p>
        </w:tc>
      </w:tr>
      <w:tr w:rsidR="00BB5EBB" w:rsidTr="00D208FE">
        <w:tc>
          <w:tcPr>
            <w:tcW w:w="5776" w:type="dxa"/>
          </w:tcPr>
          <w:p w:rsidR="00BB5EBB" w:rsidRDefault="00BB5EBB" w:rsidP="00BB5EBB">
            <w:pPr>
              <w:autoSpaceDE w:val="0"/>
              <w:autoSpaceDN w:val="0"/>
              <w:adjustRightInd w:val="0"/>
              <w:rPr>
                <w:rFonts w:cstheme="minorHAnsi"/>
                <w:bCs/>
              </w:rPr>
            </w:pPr>
          </w:p>
        </w:tc>
        <w:tc>
          <w:tcPr>
            <w:tcW w:w="1641" w:type="dxa"/>
          </w:tcPr>
          <w:p w:rsidR="00BB5EBB" w:rsidRPr="004C2064" w:rsidRDefault="00BB5EBB" w:rsidP="00BB5EBB">
            <w:pPr>
              <w:pStyle w:val="NoSpacing"/>
              <w:jc w:val="right"/>
            </w:pPr>
            <w:r w:rsidRPr="004C2064">
              <w:t>Year</w:t>
            </w:r>
          </w:p>
          <w:p w:rsidR="00BB5EBB" w:rsidRPr="00BB5EBB" w:rsidRDefault="00BB5EBB" w:rsidP="00BB5EBB">
            <w:pPr>
              <w:pStyle w:val="NoSpacing"/>
              <w:jc w:val="right"/>
            </w:pPr>
            <w:r w:rsidRPr="004C2064">
              <w:t>Quarter</w:t>
            </w:r>
          </w:p>
        </w:tc>
        <w:tc>
          <w:tcPr>
            <w:tcW w:w="1421" w:type="dxa"/>
          </w:tcPr>
          <w:p w:rsidR="00BB5EBB" w:rsidRDefault="00BB5EBB" w:rsidP="00BB5EBB">
            <w:pPr>
              <w:pStyle w:val="NoSpacing"/>
              <w:jc w:val="right"/>
            </w:pPr>
            <w:r w:rsidRPr="00BB5EBB">
              <w:t xml:space="preserve">Year </w:t>
            </w:r>
          </w:p>
          <w:p w:rsidR="00BB5EBB" w:rsidRPr="00BB5EBB" w:rsidRDefault="00D208FE" w:rsidP="00BB5EBB">
            <w:pPr>
              <w:pStyle w:val="NoSpacing"/>
              <w:jc w:val="right"/>
            </w:pPr>
            <w:r>
              <w:t>T</w:t>
            </w:r>
            <w:r w:rsidR="00BB5EBB" w:rsidRPr="00BB5EBB">
              <w:t>o date</w:t>
            </w:r>
          </w:p>
        </w:tc>
      </w:tr>
      <w:tr w:rsidR="00BB5EBB" w:rsidTr="00D208FE">
        <w:tc>
          <w:tcPr>
            <w:tcW w:w="5776" w:type="dxa"/>
          </w:tcPr>
          <w:p w:rsidR="00BB5EBB" w:rsidRDefault="00BB5EBB" w:rsidP="00BB5EBB">
            <w:pPr>
              <w:autoSpaceDE w:val="0"/>
              <w:autoSpaceDN w:val="0"/>
              <w:adjustRightInd w:val="0"/>
              <w:rPr>
                <w:rFonts w:cstheme="minorHAnsi"/>
                <w:bCs/>
              </w:rPr>
            </w:pPr>
          </w:p>
        </w:tc>
        <w:tc>
          <w:tcPr>
            <w:tcW w:w="1641" w:type="dxa"/>
          </w:tcPr>
          <w:p w:rsidR="00BB5EBB" w:rsidRPr="00BB5EBB" w:rsidRDefault="00BB5EBB" w:rsidP="00BB5EBB">
            <w:pPr>
              <w:pStyle w:val="NoSpacing"/>
              <w:jc w:val="right"/>
            </w:pPr>
            <w:r w:rsidRPr="00BB5EBB">
              <w:t>30.9.2012</w:t>
            </w:r>
          </w:p>
        </w:tc>
        <w:tc>
          <w:tcPr>
            <w:tcW w:w="1421" w:type="dxa"/>
          </w:tcPr>
          <w:p w:rsidR="00BB5EBB" w:rsidRPr="00BB5EBB" w:rsidRDefault="00BB5EBB" w:rsidP="00BB5EBB">
            <w:pPr>
              <w:pStyle w:val="NoSpacing"/>
              <w:jc w:val="right"/>
            </w:pPr>
            <w:r>
              <w:t>30.9.2012</w:t>
            </w:r>
          </w:p>
        </w:tc>
      </w:tr>
      <w:tr w:rsidR="00BB5EBB" w:rsidTr="00D208FE">
        <w:tc>
          <w:tcPr>
            <w:tcW w:w="5776" w:type="dxa"/>
          </w:tcPr>
          <w:p w:rsidR="00BB5EBB" w:rsidRDefault="00BB5EBB" w:rsidP="00375C09">
            <w:pPr>
              <w:autoSpaceDE w:val="0"/>
              <w:autoSpaceDN w:val="0"/>
              <w:adjustRightInd w:val="0"/>
              <w:rPr>
                <w:rFonts w:cstheme="minorHAnsi"/>
                <w:bCs/>
              </w:rPr>
            </w:pPr>
          </w:p>
        </w:tc>
        <w:tc>
          <w:tcPr>
            <w:tcW w:w="1641" w:type="dxa"/>
          </w:tcPr>
          <w:p w:rsidR="00BB5EBB" w:rsidRDefault="00BB5EBB" w:rsidP="00375C09">
            <w:pPr>
              <w:autoSpaceDE w:val="0"/>
              <w:autoSpaceDN w:val="0"/>
              <w:adjustRightInd w:val="0"/>
              <w:jc w:val="right"/>
              <w:rPr>
                <w:rFonts w:cstheme="minorHAnsi"/>
                <w:bCs/>
              </w:rPr>
            </w:pPr>
            <w:r>
              <w:rPr>
                <w:rFonts w:cstheme="minorHAnsi"/>
                <w:bCs/>
              </w:rPr>
              <w:t>RM’000</w:t>
            </w:r>
          </w:p>
        </w:tc>
        <w:tc>
          <w:tcPr>
            <w:tcW w:w="1421" w:type="dxa"/>
          </w:tcPr>
          <w:p w:rsidR="00BB5EBB" w:rsidRDefault="00BB5EBB" w:rsidP="00375C09">
            <w:pPr>
              <w:autoSpaceDE w:val="0"/>
              <w:autoSpaceDN w:val="0"/>
              <w:adjustRightInd w:val="0"/>
              <w:jc w:val="right"/>
              <w:rPr>
                <w:rFonts w:cstheme="minorHAnsi"/>
                <w:bCs/>
              </w:rPr>
            </w:pPr>
            <w:r>
              <w:rPr>
                <w:rFonts w:cstheme="minorHAnsi"/>
                <w:bCs/>
              </w:rPr>
              <w:t>RM’000</w:t>
            </w:r>
          </w:p>
        </w:tc>
      </w:tr>
      <w:tr w:rsidR="00BB5EBB" w:rsidTr="00D208FE">
        <w:tc>
          <w:tcPr>
            <w:tcW w:w="5776" w:type="dxa"/>
          </w:tcPr>
          <w:p w:rsidR="00BB5EBB" w:rsidRPr="00BB5EBB" w:rsidRDefault="00BB5EBB" w:rsidP="00BB5EBB">
            <w:pPr>
              <w:autoSpaceDE w:val="0"/>
              <w:autoSpaceDN w:val="0"/>
              <w:adjustRightInd w:val="0"/>
              <w:rPr>
                <w:rFonts w:cstheme="minorHAnsi"/>
                <w:bCs/>
              </w:rPr>
            </w:pPr>
            <w:r>
              <w:rPr>
                <w:rFonts w:cstheme="minorHAnsi"/>
                <w:bCs/>
              </w:rPr>
              <w:t>Provision of construction works to companies in which</w:t>
            </w:r>
            <w:r w:rsidR="00D208FE">
              <w:rPr>
                <w:rFonts w:cstheme="minorHAnsi"/>
                <w:bCs/>
              </w:rPr>
              <w:t xml:space="preserve"> a director has substantial financial interest</w:t>
            </w:r>
          </w:p>
        </w:tc>
        <w:tc>
          <w:tcPr>
            <w:tcW w:w="1641" w:type="dxa"/>
            <w:tcBorders>
              <w:bottom w:val="single" w:sz="4" w:space="0" w:color="auto"/>
            </w:tcBorders>
          </w:tcPr>
          <w:p w:rsidR="00BB5EBB" w:rsidRDefault="00BB5EBB" w:rsidP="00375C09">
            <w:pPr>
              <w:autoSpaceDE w:val="0"/>
              <w:autoSpaceDN w:val="0"/>
              <w:adjustRightInd w:val="0"/>
              <w:jc w:val="right"/>
              <w:rPr>
                <w:rFonts w:cstheme="minorHAnsi"/>
                <w:bCs/>
              </w:rPr>
            </w:pPr>
          </w:p>
          <w:p w:rsidR="00BB5EBB" w:rsidRDefault="00D208FE" w:rsidP="00375C09">
            <w:pPr>
              <w:autoSpaceDE w:val="0"/>
              <w:autoSpaceDN w:val="0"/>
              <w:adjustRightInd w:val="0"/>
              <w:jc w:val="right"/>
              <w:rPr>
                <w:rFonts w:cstheme="minorHAnsi"/>
                <w:bCs/>
              </w:rPr>
            </w:pPr>
            <w:r>
              <w:rPr>
                <w:rFonts w:cstheme="minorHAnsi"/>
                <w:bCs/>
              </w:rPr>
              <w:t>11,967</w:t>
            </w:r>
          </w:p>
        </w:tc>
        <w:tc>
          <w:tcPr>
            <w:tcW w:w="1421" w:type="dxa"/>
            <w:tcBorders>
              <w:bottom w:val="single" w:sz="4" w:space="0" w:color="auto"/>
            </w:tcBorders>
          </w:tcPr>
          <w:p w:rsidR="00BB5EBB" w:rsidRDefault="00BB5EBB" w:rsidP="00375C09">
            <w:pPr>
              <w:autoSpaceDE w:val="0"/>
              <w:autoSpaceDN w:val="0"/>
              <w:adjustRightInd w:val="0"/>
              <w:jc w:val="right"/>
              <w:rPr>
                <w:rFonts w:cstheme="minorHAnsi"/>
                <w:bCs/>
              </w:rPr>
            </w:pPr>
          </w:p>
          <w:p w:rsidR="00D208FE" w:rsidRDefault="00D208FE" w:rsidP="00375C09">
            <w:pPr>
              <w:autoSpaceDE w:val="0"/>
              <w:autoSpaceDN w:val="0"/>
              <w:adjustRightInd w:val="0"/>
              <w:jc w:val="right"/>
              <w:rPr>
                <w:rFonts w:cstheme="minorHAnsi"/>
                <w:bCs/>
              </w:rPr>
            </w:pPr>
            <w:r>
              <w:rPr>
                <w:rFonts w:cstheme="minorHAnsi"/>
                <w:bCs/>
              </w:rPr>
              <w:t>27,899</w:t>
            </w:r>
          </w:p>
        </w:tc>
      </w:tr>
    </w:tbl>
    <w:p w:rsidR="00D208FE" w:rsidRDefault="00D208FE" w:rsidP="00BC6990">
      <w:pPr>
        <w:autoSpaceDE w:val="0"/>
        <w:autoSpaceDN w:val="0"/>
        <w:adjustRightInd w:val="0"/>
        <w:spacing w:after="0" w:line="240" w:lineRule="auto"/>
        <w:rPr>
          <w:rFonts w:cstheme="minorHAnsi"/>
          <w:bCs/>
        </w:rPr>
      </w:pPr>
    </w:p>
    <w:p w:rsidR="00D208FE" w:rsidRDefault="00D208FE">
      <w:pPr>
        <w:rPr>
          <w:rFonts w:cstheme="minorHAnsi"/>
          <w:bCs/>
        </w:rPr>
      </w:pPr>
      <w:r>
        <w:rPr>
          <w:rFonts w:cstheme="minorHAnsi"/>
          <w:bCs/>
        </w:rPr>
        <w:br w:type="page"/>
      </w:r>
    </w:p>
    <w:p w:rsidR="00D208FE" w:rsidRPr="002F1C6E" w:rsidRDefault="00D208FE" w:rsidP="00D208FE">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D208FE" w:rsidRDefault="00D208FE" w:rsidP="00D208FE">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2579B7" w:rsidRDefault="002579B7" w:rsidP="00BC6990">
      <w:pPr>
        <w:autoSpaceDE w:val="0"/>
        <w:autoSpaceDN w:val="0"/>
        <w:adjustRightInd w:val="0"/>
        <w:spacing w:after="0" w:line="240" w:lineRule="auto"/>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B1.</w:t>
      </w:r>
      <w:r w:rsidRPr="00627F38">
        <w:rPr>
          <w:rFonts w:cstheme="minorHAnsi"/>
          <w:b/>
          <w:bCs/>
        </w:rPr>
        <w:tab/>
        <w:t>Review of Performance</w:t>
      </w:r>
    </w:p>
    <w:p w:rsidR="00D208FE" w:rsidRDefault="00D208FE" w:rsidP="00D208FE">
      <w:pPr>
        <w:autoSpaceDE w:val="0"/>
        <w:autoSpaceDN w:val="0"/>
        <w:adjustRightInd w:val="0"/>
        <w:spacing w:after="0" w:line="240" w:lineRule="auto"/>
        <w:rPr>
          <w:rFonts w:cstheme="minorHAnsi"/>
          <w:b/>
          <w:bCs/>
        </w:rPr>
      </w:pPr>
    </w:p>
    <w:p w:rsidR="00627F38" w:rsidRDefault="00627F38" w:rsidP="00F56BA1">
      <w:pPr>
        <w:autoSpaceDE w:val="0"/>
        <w:autoSpaceDN w:val="0"/>
        <w:adjustRightInd w:val="0"/>
        <w:spacing w:after="0" w:line="240" w:lineRule="auto"/>
        <w:ind w:left="720"/>
        <w:jc w:val="both"/>
        <w:rPr>
          <w:rFonts w:cstheme="minorHAnsi"/>
          <w:bCs/>
        </w:rPr>
      </w:pPr>
      <w:r>
        <w:rPr>
          <w:rFonts w:cstheme="minorHAnsi"/>
          <w:bCs/>
        </w:rPr>
        <w:t>The Group</w:t>
      </w:r>
      <w:r w:rsidR="00F56BA1">
        <w:rPr>
          <w:rFonts w:cstheme="minorHAnsi"/>
          <w:bCs/>
        </w:rPr>
        <w:t xml:space="preserve"> </w:t>
      </w:r>
      <w:r>
        <w:rPr>
          <w:rFonts w:cstheme="minorHAnsi"/>
          <w:bCs/>
        </w:rPr>
        <w:t>achieved a revenue of RM</w:t>
      </w:r>
      <w:r w:rsidR="00F56BA1">
        <w:rPr>
          <w:rFonts w:cstheme="minorHAnsi"/>
          <w:bCs/>
        </w:rPr>
        <w:t>58 million for the quarter under review with 93% and 7% of revenue contributed by construction segment and manufacturing of PU products respectively.</w:t>
      </w:r>
    </w:p>
    <w:p w:rsidR="00A74549" w:rsidRDefault="00A74549" w:rsidP="00F56BA1">
      <w:pPr>
        <w:autoSpaceDE w:val="0"/>
        <w:autoSpaceDN w:val="0"/>
        <w:adjustRightInd w:val="0"/>
        <w:spacing w:after="0" w:line="240" w:lineRule="auto"/>
        <w:ind w:left="720"/>
        <w:jc w:val="both"/>
        <w:rPr>
          <w:rFonts w:cstheme="minorHAnsi"/>
          <w:bCs/>
        </w:rPr>
      </w:pPr>
    </w:p>
    <w:p w:rsidR="00A74549" w:rsidRDefault="00A74549" w:rsidP="00F56BA1">
      <w:pPr>
        <w:autoSpaceDE w:val="0"/>
        <w:autoSpaceDN w:val="0"/>
        <w:adjustRightInd w:val="0"/>
        <w:spacing w:after="0" w:line="240" w:lineRule="auto"/>
        <w:ind w:left="720"/>
        <w:jc w:val="both"/>
        <w:rPr>
          <w:rFonts w:cstheme="minorHAnsi"/>
          <w:bCs/>
        </w:rPr>
      </w:pPr>
      <w:r>
        <w:rPr>
          <w:rFonts w:cstheme="minorHAnsi"/>
          <w:bCs/>
        </w:rPr>
        <w:t xml:space="preserve">The Group </w:t>
      </w:r>
      <w:r w:rsidR="00E66E09">
        <w:rPr>
          <w:rFonts w:cstheme="minorHAnsi"/>
          <w:bCs/>
        </w:rPr>
        <w:t>generated</w:t>
      </w:r>
      <w:r>
        <w:rPr>
          <w:rFonts w:cstheme="minorHAnsi"/>
          <w:bCs/>
        </w:rPr>
        <w:t xml:space="preserve"> </w:t>
      </w:r>
      <w:r w:rsidR="00E66E09">
        <w:rPr>
          <w:rFonts w:cstheme="minorHAnsi"/>
          <w:bCs/>
        </w:rPr>
        <w:t>a profit</w:t>
      </w:r>
      <w:r>
        <w:rPr>
          <w:rFonts w:cstheme="minorHAnsi"/>
          <w:bCs/>
        </w:rPr>
        <w:t xml:space="preserve"> before tax of RM</w:t>
      </w:r>
      <w:r w:rsidR="00E66E09">
        <w:rPr>
          <w:rFonts w:cstheme="minorHAnsi"/>
          <w:bCs/>
        </w:rPr>
        <w:t xml:space="preserve">0.2 million for the quarter under review. The profit before tax has included the one-time loss on disposal of </w:t>
      </w:r>
      <w:proofErr w:type="spellStart"/>
      <w:r w:rsidR="00E66E09">
        <w:rPr>
          <w:rFonts w:cstheme="minorHAnsi"/>
          <w:bCs/>
        </w:rPr>
        <w:t>Mithril</w:t>
      </w:r>
      <w:proofErr w:type="spellEnd"/>
      <w:r w:rsidR="00E66E09">
        <w:rPr>
          <w:rFonts w:cstheme="minorHAnsi"/>
          <w:bCs/>
        </w:rPr>
        <w:t xml:space="preserve"> </w:t>
      </w:r>
      <w:proofErr w:type="spellStart"/>
      <w:r w:rsidR="00E66E09">
        <w:rPr>
          <w:rFonts w:cstheme="minorHAnsi"/>
          <w:bCs/>
        </w:rPr>
        <w:t>Berhad</w:t>
      </w:r>
      <w:proofErr w:type="spellEnd"/>
      <w:r w:rsidR="00E66E09">
        <w:rPr>
          <w:rFonts w:cstheme="minorHAnsi"/>
          <w:bCs/>
        </w:rPr>
        <w:t xml:space="preserve"> amounting to RM3.1 million incurred during the quarter.</w:t>
      </w:r>
      <w:r w:rsidR="00AF7A58">
        <w:rPr>
          <w:rFonts w:cstheme="minorHAnsi"/>
          <w:bCs/>
        </w:rPr>
        <w:t xml:space="preserve"> Excluding the one-time loss on disposal, the Group would have generated a profit before tax of RM3.3 million for the quarter under review.</w:t>
      </w:r>
    </w:p>
    <w:p w:rsidR="00E66E09" w:rsidRDefault="00E66E09" w:rsidP="00F56BA1">
      <w:pPr>
        <w:autoSpaceDE w:val="0"/>
        <w:autoSpaceDN w:val="0"/>
        <w:adjustRightInd w:val="0"/>
        <w:spacing w:after="0" w:line="240" w:lineRule="auto"/>
        <w:ind w:left="720"/>
        <w:jc w:val="both"/>
        <w:rPr>
          <w:rFonts w:cstheme="minorHAnsi"/>
          <w:bCs/>
        </w:rPr>
      </w:pPr>
    </w:p>
    <w:p w:rsidR="00E66E09" w:rsidRDefault="00E66E09" w:rsidP="00F56BA1">
      <w:pPr>
        <w:autoSpaceDE w:val="0"/>
        <w:autoSpaceDN w:val="0"/>
        <w:adjustRightInd w:val="0"/>
        <w:spacing w:after="0" w:line="240" w:lineRule="auto"/>
        <w:ind w:left="720"/>
        <w:jc w:val="both"/>
        <w:rPr>
          <w:rFonts w:cstheme="minorHAnsi"/>
          <w:bCs/>
        </w:rPr>
      </w:pPr>
      <w:r>
        <w:rPr>
          <w:rFonts w:cstheme="minorHAnsi"/>
          <w:bCs/>
        </w:rPr>
        <w:t xml:space="preserve">For the 9-month </w:t>
      </w:r>
      <w:proofErr w:type="spellStart"/>
      <w:r>
        <w:rPr>
          <w:rFonts w:cstheme="minorHAnsi"/>
          <w:bCs/>
        </w:rPr>
        <w:t>proforma</w:t>
      </w:r>
      <w:proofErr w:type="spellEnd"/>
      <w:r>
        <w:rPr>
          <w:rFonts w:cstheme="minorHAnsi"/>
          <w:bCs/>
        </w:rPr>
        <w:t xml:space="preserve"> results, the Group achieved a revenue of RM158 million with 93% and 7% of revenue contributed by construction segment and manufacturing of PU products respectively. The Group generated a profit before tax of RM14 million which included the loss on the said disposal above.</w:t>
      </w:r>
    </w:p>
    <w:p w:rsidR="00F56BA1" w:rsidRPr="00627F38" w:rsidRDefault="00F56BA1" w:rsidP="00D208FE">
      <w:pPr>
        <w:autoSpaceDE w:val="0"/>
        <w:autoSpaceDN w:val="0"/>
        <w:adjustRightInd w:val="0"/>
        <w:spacing w:after="0" w:line="240" w:lineRule="auto"/>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B2.</w:t>
      </w:r>
      <w:r w:rsidRPr="00627F38">
        <w:rPr>
          <w:rFonts w:cstheme="minorHAnsi"/>
          <w:b/>
          <w:bCs/>
        </w:rPr>
        <w:tab/>
        <w:t>Comparison with Immediate Preceding Quarter's Results</w:t>
      </w:r>
    </w:p>
    <w:p w:rsidR="00D208FE" w:rsidRDefault="00D208FE" w:rsidP="00D208FE">
      <w:pPr>
        <w:autoSpaceDE w:val="0"/>
        <w:autoSpaceDN w:val="0"/>
        <w:adjustRightInd w:val="0"/>
        <w:spacing w:after="0" w:line="240" w:lineRule="auto"/>
        <w:rPr>
          <w:rFonts w:cstheme="minorHAnsi"/>
          <w:b/>
          <w:bCs/>
        </w:rPr>
      </w:pPr>
    </w:p>
    <w:p w:rsidR="00E66E09" w:rsidRDefault="00E66E09" w:rsidP="00E66E09">
      <w:pPr>
        <w:autoSpaceDE w:val="0"/>
        <w:autoSpaceDN w:val="0"/>
        <w:adjustRightInd w:val="0"/>
        <w:spacing w:after="0" w:line="240" w:lineRule="auto"/>
        <w:ind w:left="720"/>
        <w:jc w:val="both"/>
        <w:rPr>
          <w:rFonts w:cstheme="minorHAnsi"/>
          <w:bCs/>
        </w:rPr>
      </w:pPr>
      <w:r>
        <w:rPr>
          <w:rFonts w:cstheme="minorHAnsi"/>
          <w:bCs/>
        </w:rPr>
        <w:t>No comparison with immediate preceding quarter’s results is made as this</w:t>
      </w:r>
      <w:r w:rsidR="002B566D">
        <w:rPr>
          <w:rFonts w:cstheme="minorHAnsi"/>
          <w:bCs/>
        </w:rPr>
        <w:t xml:space="preserve"> is</w:t>
      </w:r>
      <w:r>
        <w:rPr>
          <w:rFonts w:cstheme="minorHAnsi"/>
          <w:bCs/>
        </w:rPr>
        <w:t xml:space="preserve"> the first interim financial report prepared on </w:t>
      </w:r>
      <w:proofErr w:type="spellStart"/>
      <w:r>
        <w:rPr>
          <w:rFonts w:cstheme="minorHAnsi"/>
          <w:bCs/>
        </w:rPr>
        <w:t>proforma</w:t>
      </w:r>
      <w:proofErr w:type="spellEnd"/>
      <w:r>
        <w:rPr>
          <w:rFonts w:cstheme="minorHAnsi"/>
          <w:bCs/>
        </w:rPr>
        <w:t xml:space="preserve"> basis.</w:t>
      </w:r>
    </w:p>
    <w:p w:rsidR="00E66E09" w:rsidRPr="00E66E09" w:rsidRDefault="00E66E09" w:rsidP="00D208FE">
      <w:pPr>
        <w:autoSpaceDE w:val="0"/>
        <w:autoSpaceDN w:val="0"/>
        <w:adjustRightInd w:val="0"/>
        <w:spacing w:after="0" w:line="240" w:lineRule="auto"/>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B3.</w:t>
      </w:r>
      <w:r w:rsidRPr="00627F38">
        <w:rPr>
          <w:rFonts w:cstheme="minorHAnsi"/>
          <w:b/>
          <w:bCs/>
        </w:rPr>
        <w:tab/>
        <w:t>Prospects for the Current Financial Year</w:t>
      </w:r>
    </w:p>
    <w:p w:rsidR="00D208FE" w:rsidRDefault="00D208FE" w:rsidP="00D208FE">
      <w:pPr>
        <w:autoSpaceDE w:val="0"/>
        <w:autoSpaceDN w:val="0"/>
        <w:adjustRightInd w:val="0"/>
        <w:spacing w:after="0" w:line="240" w:lineRule="auto"/>
        <w:rPr>
          <w:rFonts w:cstheme="minorHAnsi"/>
          <w:b/>
          <w:bCs/>
        </w:rPr>
      </w:pPr>
    </w:p>
    <w:p w:rsidR="00E66E09" w:rsidRDefault="00065126" w:rsidP="00065126">
      <w:pPr>
        <w:autoSpaceDE w:val="0"/>
        <w:autoSpaceDN w:val="0"/>
        <w:adjustRightInd w:val="0"/>
        <w:spacing w:after="0" w:line="240" w:lineRule="auto"/>
        <w:ind w:left="720"/>
        <w:jc w:val="both"/>
        <w:rPr>
          <w:rFonts w:cstheme="minorHAnsi"/>
          <w:bCs/>
        </w:rPr>
      </w:pPr>
      <w:r>
        <w:rPr>
          <w:rFonts w:cstheme="minorHAnsi"/>
          <w:bCs/>
        </w:rPr>
        <w:t xml:space="preserve">For the current financial year, the construction segment will continue to be the main contributor. The Group has secured a building construction project amounting to RM80 million during the quarter. Coupled with the 5 on-going projects, the Group expects the financial </w:t>
      </w:r>
      <w:r w:rsidR="002B566D">
        <w:rPr>
          <w:rFonts w:cstheme="minorHAnsi"/>
          <w:bCs/>
        </w:rPr>
        <w:t>results</w:t>
      </w:r>
      <w:r>
        <w:rPr>
          <w:rFonts w:cstheme="minorHAnsi"/>
          <w:bCs/>
        </w:rPr>
        <w:t xml:space="preserve"> for the final quarter to be profitable.</w:t>
      </w:r>
    </w:p>
    <w:p w:rsidR="00065126" w:rsidRPr="00E66E09" w:rsidRDefault="00065126" w:rsidP="00065126">
      <w:pPr>
        <w:autoSpaceDE w:val="0"/>
        <w:autoSpaceDN w:val="0"/>
        <w:adjustRightInd w:val="0"/>
        <w:spacing w:after="0" w:line="240" w:lineRule="auto"/>
        <w:ind w:left="720"/>
        <w:jc w:val="both"/>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B4.</w:t>
      </w:r>
      <w:r w:rsidRPr="00627F38">
        <w:rPr>
          <w:rFonts w:cstheme="minorHAnsi"/>
          <w:b/>
          <w:bCs/>
        </w:rPr>
        <w:tab/>
        <w:t>Profit Forecast</w:t>
      </w:r>
      <w:bookmarkStart w:id="0" w:name="_GoBack"/>
      <w:bookmarkEnd w:id="0"/>
    </w:p>
    <w:p w:rsidR="00D208FE" w:rsidRPr="00627F38" w:rsidRDefault="00D208FE" w:rsidP="00D208FE">
      <w:pPr>
        <w:autoSpaceDE w:val="0"/>
        <w:autoSpaceDN w:val="0"/>
        <w:adjustRightInd w:val="0"/>
        <w:spacing w:after="0" w:line="240" w:lineRule="auto"/>
        <w:rPr>
          <w:rFonts w:cstheme="minorHAnsi"/>
        </w:rPr>
      </w:pPr>
    </w:p>
    <w:p w:rsidR="00D208FE" w:rsidRPr="00627F38" w:rsidRDefault="00D208FE" w:rsidP="00D208FE">
      <w:pPr>
        <w:autoSpaceDE w:val="0"/>
        <w:autoSpaceDN w:val="0"/>
        <w:adjustRightInd w:val="0"/>
        <w:spacing w:after="0" w:line="240" w:lineRule="auto"/>
        <w:ind w:firstLine="720"/>
        <w:rPr>
          <w:rFonts w:cstheme="minorHAnsi"/>
        </w:rPr>
      </w:pPr>
      <w:r w:rsidRPr="00627F38">
        <w:rPr>
          <w:rFonts w:cstheme="minorHAnsi"/>
        </w:rPr>
        <w:t>There was no profit forecast announced in relation to the financial quarter under review.</w:t>
      </w:r>
    </w:p>
    <w:p w:rsidR="00D208FE" w:rsidRPr="00627F38" w:rsidRDefault="00D208FE" w:rsidP="00D208FE">
      <w:pPr>
        <w:autoSpaceDE w:val="0"/>
        <w:autoSpaceDN w:val="0"/>
        <w:adjustRightInd w:val="0"/>
        <w:spacing w:after="0" w:line="240" w:lineRule="auto"/>
        <w:ind w:firstLine="720"/>
        <w:rPr>
          <w:rFonts w:cstheme="minorHAnsi"/>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B5.</w:t>
      </w:r>
      <w:r w:rsidRPr="00627F38">
        <w:rPr>
          <w:rFonts w:cstheme="minorHAnsi"/>
          <w:b/>
          <w:bCs/>
        </w:rPr>
        <w:tab/>
        <w:t>Taxation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D10B79" w:rsidRPr="00BB5EBB" w:rsidTr="0069293C">
        <w:tc>
          <w:tcPr>
            <w:tcW w:w="5776" w:type="dxa"/>
          </w:tcPr>
          <w:p w:rsidR="00D10B79" w:rsidRDefault="00D10B79" w:rsidP="00375C09">
            <w:pPr>
              <w:autoSpaceDE w:val="0"/>
              <w:autoSpaceDN w:val="0"/>
              <w:adjustRightInd w:val="0"/>
              <w:rPr>
                <w:rFonts w:cstheme="minorHAnsi"/>
                <w:bCs/>
              </w:rPr>
            </w:pPr>
            <w:r>
              <w:rPr>
                <w:rFonts w:cstheme="minorHAnsi"/>
                <w:b/>
                <w:bCs/>
              </w:rPr>
              <w:tab/>
            </w:r>
          </w:p>
        </w:tc>
        <w:tc>
          <w:tcPr>
            <w:tcW w:w="1641" w:type="dxa"/>
          </w:tcPr>
          <w:p w:rsidR="00D10B79" w:rsidRPr="00BB5EBB" w:rsidRDefault="00D10B79" w:rsidP="00375C09">
            <w:pPr>
              <w:pStyle w:val="NoSpacing"/>
              <w:jc w:val="right"/>
            </w:pPr>
            <w:r w:rsidRPr="00BB5EBB">
              <w:t>Current</w:t>
            </w:r>
          </w:p>
        </w:tc>
        <w:tc>
          <w:tcPr>
            <w:tcW w:w="1421" w:type="dxa"/>
          </w:tcPr>
          <w:p w:rsidR="00D10B79" w:rsidRPr="00BB5EBB" w:rsidRDefault="00D10B79" w:rsidP="00375C09">
            <w:pPr>
              <w:pStyle w:val="NoSpacing"/>
              <w:jc w:val="right"/>
            </w:pPr>
            <w:r>
              <w:t>Current</w:t>
            </w:r>
          </w:p>
        </w:tc>
      </w:tr>
      <w:tr w:rsidR="00D10B79" w:rsidRPr="00BB5EBB" w:rsidTr="0069293C">
        <w:tc>
          <w:tcPr>
            <w:tcW w:w="5776" w:type="dxa"/>
          </w:tcPr>
          <w:p w:rsidR="00D10B79" w:rsidRDefault="00D10B79" w:rsidP="00375C09">
            <w:pPr>
              <w:autoSpaceDE w:val="0"/>
              <w:autoSpaceDN w:val="0"/>
              <w:adjustRightInd w:val="0"/>
              <w:rPr>
                <w:rFonts w:cstheme="minorHAnsi"/>
                <w:bCs/>
              </w:rPr>
            </w:pPr>
          </w:p>
        </w:tc>
        <w:tc>
          <w:tcPr>
            <w:tcW w:w="1641" w:type="dxa"/>
          </w:tcPr>
          <w:p w:rsidR="00D10B79" w:rsidRPr="004C2064" w:rsidRDefault="00D10B79" w:rsidP="00375C09">
            <w:pPr>
              <w:pStyle w:val="NoSpacing"/>
              <w:jc w:val="right"/>
            </w:pPr>
            <w:r w:rsidRPr="004C2064">
              <w:t>Year</w:t>
            </w:r>
          </w:p>
          <w:p w:rsidR="00D10B79" w:rsidRPr="00BB5EBB" w:rsidRDefault="00D10B79" w:rsidP="00375C09">
            <w:pPr>
              <w:pStyle w:val="NoSpacing"/>
              <w:jc w:val="right"/>
            </w:pPr>
            <w:r w:rsidRPr="004C2064">
              <w:t>Quarter</w:t>
            </w:r>
          </w:p>
        </w:tc>
        <w:tc>
          <w:tcPr>
            <w:tcW w:w="1421" w:type="dxa"/>
          </w:tcPr>
          <w:p w:rsidR="00D10B79" w:rsidRDefault="00D10B79" w:rsidP="00375C09">
            <w:pPr>
              <w:pStyle w:val="NoSpacing"/>
              <w:jc w:val="right"/>
            </w:pPr>
            <w:r w:rsidRPr="00BB5EBB">
              <w:t xml:space="preserve">Year </w:t>
            </w:r>
          </w:p>
          <w:p w:rsidR="00D10B79" w:rsidRPr="00BB5EBB" w:rsidRDefault="00D10B79" w:rsidP="00375C09">
            <w:pPr>
              <w:pStyle w:val="NoSpacing"/>
              <w:jc w:val="right"/>
            </w:pPr>
            <w:r>
              <w:t>T</w:t>
            </w:r>
            <w:r w:rsidRPr="00BB5EBB">
              <w:t>o date</w:t>
            </w:r>
          </w:p>
        </w:tc>
      </w:tr>
      <w:tr w:rsidR="00D10B79" w:rsidRPr="00BB5EBB" w:rsidTr="0069293C">
        <w:tc>
          <w:tcPr>
            <w:tcW w:w="5776" w:type="dxa"/>
          </w:tcPr>
          <w:p w:rsidR="00D10B79" w:rsidRDefault="00D10B79" w:rsidP="00375C09">
            <w:pPr>
              <w:autoSpaceDE w:val="0"/>
              <w:autoSpaceDN w:val="0"/>
              <w:adjustRightInd w:val="0"/>
              <w:rPr>
                <w:rFonts w:cstheme="minorHAnsi"/>
                <w:bCs/>
              </w:rPr>
            </w:pPr>
          </w:p>
        </w:tc>
        <w:tc>
          <w:tcPr>
            <w:tcW w:w="1641" w:type="dxa"/>
          </w:tcPr>
          <w:p w:rsidR="00D10B79" w:rsidRPr="00BB5EBB" w:rsidRDefault="00D10B79" w:rsidP="00375C09">
            <w:pPr>
              <w:pStyle w:val="NoSpacing"/>
              <w:jc w:val="right"/>
            </w:pPr>
            <w:r w:rsidRPr="00BB5EBB">
              <w:t>30.9.2012</w:t>
            </w:r>
          </w:p>
        </w:tc>
        <w:tc>
          <w:tcPr>
            <w:tcW w:w="1421" w:type="dxa"/>
          </w:tcPr>
          <w:p w:rsidR="00D10B79" w:rsidRPr="00BB5EBB" w:rsidRDefault="00D10B79" w:rsidP="00375C09">
            <w:pPr>
              <w:pStyle w:val="NoSpacing"/>
              <w:jc w:val="right"/>
            </w:pPr>
            <w:r>
              <w:t>30.9.2012</w:t>
            </w:r>
          </w:p>
        </w:tc>
      </w:tr>
      <w:tr w:rsidR="00D10B79" w:rsidTr="0069293C">
        <w:tc>
          <w:tcPr>
            <w:tcW w:w="5776" w:type="dxa"/>
          </w:tcPr>
          <w:p w:rsidR="00D10B79" w:rsidRDefault="00D10B79" w:rsidP="00375C09">
            <w:pPr>
              <w:autoSpaceDE w:val="0"/>
              <w:autoSpaceDN w:val="0"/>
              <w:adjustRightInd w:val="0"/>
              <w:rPr>
                <w:rFonts w:cstheme="minorHAnsi"/>
                <w:bCs/>
              </w:rPr>
            </w:pPr>
          </w:p>
        </w:tc>
        <w:tc>
          <w:tcPr>
            <w:tcW w:w="1641" w:type="dxa"/>
          </w:tcPr>
          <w:p w:rsidR="00D10B79" w:rsidRDefault="00D10B79" w:rsidP="00375C09">
            <w:pPr>
              <w:autoSpaceDE w:val="0"/>
              <w:autoSpaceDN w:val="0"/>
              <w:adjustRightInd w:val="0"/>
              <w:jc w:val="right"/>
              <w:rPr>
                <w:rFonts w:cstheme="minorHAnsi"/>
                <w:bCs/>
              </w:rPr>
            </w:pPr>
            <w:r>
              <w:rPr>
                <w:rFonts w:cstheme="minorHAnsi"/>
                <w:bCs/>
              </w:rPr>
              <w:t>RM’000</w:t>
            </w:r>
          </w:p>
        </w:tc>
        <w:tc>
          <w:tcPr>
            <w:tcW w:w="1421" w:type="dxa"/>
          </w:tcPr>
          <w:p w:rsidR="00D10B79" w:rsidRDefault="00D10B79" w:rsidP="00375C09">
            <w:pPr>
              <w:autoSpaceDE w:val="0"/>
              <w:autoSpaceDN w:val="0"/>
              <w:adjustRightInd w:val="0"/>
              <w:jc w:val="right"/>
              <w:rPr>
                <w:rFonts w:cstheme="minorHAnsi"/>
                <w:bCs/>
              </w:rPr>
            </w:pPr>
            <w:r>
              <w:rPr>
                <w:rFonts w:cstheme="minorHAnsi"/>
                <w:bCs/>
              </w:rPr>
              <w:t>RM’000</w:t>
            </w:r>
          </w:p>
        </w:tc>
      </w:tr>
      <w:tr w:rsidR="00D10B79" w:rsidTr="0069293C">
        <w:tc>
          <w:tcPr>
            <w:tcW w:w="5776" w:type="dxa"/>
          </w:tcPr>
          <w:p w:rsidR="00D10B79" w:rsidRPr="00BB5EBB" w:rsidRDefault="00900DBE" w:rsidP="00375C09">
            <w:pPr>
              <w:autoSpaceDE w:val="0"/>
              <w:autoSpaceDN w:val="0"/>
              <w:adjustRightInd w:val="0"/>
              <w:rPr>
                <w:rFonts w:cstheme="minorHAnsi"/>
                <w:bCs/>
              </w:rPr>
            </w:pPr>
            <w:r>
              <w:rPr>
                <w:rFonts w:cstheme="minorHAnsi"/>
                <w:bCs/>
              </w:rPr>
              <w:t>Current year tax</w:t>
            </w:r>
          </w:p>
        </w:tc>
        <w:tc>
          <w:tcPr>
            <w:tcW w:w="1641" w:type="dxa"/>
          </w:tcPr>
          <w:p w:rsidR="00900DBE" w:rsidRDefault="0010314B" w:rsidP="00375C09">
            <w:pPr>
              <w:autoSpaceDE w:val="0"/>
              <w:autoSpaceDN w:val="0"/>
              <w:adjustRightInd w:val="0"/>
              <w:jc w:val="right"/>
              <w:rPr>
                <w:rFonts w:cstheme="minorHAnsi"/>
                <w:bCs/>
              </w:rPr>
            </w:pPr>
            <w:r>
              <w:rPr>
                <w:rFonts w:cstheme="minorHAnsi"/>
                <w:bCs/>
              </w:rPr>
              <w:t>791</w:t>
            </w:r>
          </w:p>
        </w:tc>
        <w:tc>
          <w:tcPr>
            <w:tcW w:w="1421" w:type="dxa"/>
          </w:tcPr>
          <w:p w:rsidR="00900DBE" w:rsidRDefault="0010314B" w:rsidP="00375C09">
            <w:pPr>
              <w:autoSpaceDE w:val="0"/>
              <w:autoSpaceDN w:val="0"/>
              <w:adjustRightInd w:val="0"/>
              <w:jc w:val="right"/>
              <w:rPr>
                <w:rFonts w:cstheme="minorHAnsi"/>
                <w:bCs/>
              </w:rPr>
            </w:pPr>
            <w:r>
              <w:rPr>
                <w:rFonts w:cstheme="minorHAnsi"/>
                <w:bCs/>
              </w:rPr>
              <w:t>4,423</w:t>
            </w:r>
          </w:p>
        </w:tc>
      </w:tr>
      <w:tr w:rsidR="00900DBE" w:rsidTr="0069293C">
        <w:tc>
          <w:tcPr>
            <w:tcW w:w="5776" w:type="dxa"/>
          </w:tcPr>
          <w:p w:rsidR="00900DBE" w:rsidRDefault="00900DBE" w:rsidP="00375C09">
            <w:pPr>
              <w:autoSpaceDE w:val="0"/>
              <w:autoSpaceDN w:val="0"/>
              <w:adjustRightInd w:val="0"/>
              <w:rPr>
                <w:rFonts w:cstheme="minorHAnsi"/>
                <w:bCs/>
              </w:rPr>
            </w:pPr>
            <w:r>
              <w:rPr>
                <w:rFonts w:cstheme="minorHAnsi"/>
                <w:bCs/>
              </w:rPr>
              <w:t>Under provision in prior year</w:t>
            </w:r>
          </w:p>
        </w:tc>
        <w:tc>
          <w:tcPr>
            <w:tcW w:w="1641" w:type="dxa"/>
          </w:tcPr>
          <w:p w:rsidR="00900DBE" w:rsidRDefault="0010314B" w:rsidP="00375C09">
            <w:pPr>
              <w:autoSpaceDE w:val="0"/>
              <w:autoSpaceDN w:val="0"/>
              <w:adjustRightInd w:val="0"/>
              <w:jc w:val="right"/>
              <w:rPr>
                <w:rFonts w:cstheme="minorHAnsi"/>
                <w:bCs/>
              </w:rPr>
            </w:pPr>
            <w:r>
              <w:rPr>
                <w:rFonts w:cstheme="minorHAnsi"/>
                <w:bCs/>
              </w:rPr>
              <w:t>36</w:t>
            </w:r>
          </w:p>
        </w:tc>
        <w:tc>
          <w:tcPr>
            <w:tcW w:w="1421" w:type="dxa"/>
          </w:tcPr>
          <w:p w:rsidR="00900DBE" w:rsidRDefault="00900DBE" w:rsidP="00375C09">
            <w:pPr>
              <w:autoSpaceDE w:val="0"/>
              <w:autoSpaceDN w:val="0"/>
              <w:adjustRightInd w:val="0"/>
              <w:jc w:val="right"/>
              <w:rPr>
                <w:rFonts w:cstheme="minorHAnsi"/>
                <w:bCs/>
              </w:rPr>
            </w:pPr>
            <w:r>
              <w:rPr>
                <w:rFonts w:cstheme="minorHAnsi"/>
                <w:bCs/>
              </w:rPr>
              <w:t>36</w:t>
            </w:r>
          </w:p>
        </w:tc>
      </w:tr>
      <w:tr w:rsidR="00900DBE" w:rsidTr="0069293C">
        <w:tc>
          <w:tcPr>
            <w:tcW w:w="5776" w:type="dxa"/>
          </w:tcPr>
          <w:p w:rsidR="00900DBE" w:rsidRDefault="00900DBE" w:rsidP="00375C09">
            <w:pPr>
              <w:autoSpaceDE w:val="0"/>
              <w:autoSpaceDN w:val="0"/>
              <w:adjustRightInd w:val="0"/>
              <w:rPr>
                <w:rFonts w:cstheme="minorHAnsi"/>
                <w:bCs/>
              </w:rPr>
            </w:pPr>
            <w:r>
              <w:rPr>
                <w:rFonts w:cstheme="minorHAnsi"/>
                <w:bCs/>
              </w:rPr>
              <w:t>Deferred tax</w:t>
            </w:r>
          </w:p>
        </w:tc>
        <w:tc>
          <w:tcPr>
            <w:tcW w:w="1641" w:type="dxa"/>
            <w:tcBorders>
              <w:bottom w:val="single" w:sz="4" w:space="0" w:color="auto"/>
            </w:tcBorders>
          </w:tcPr>
          <w:p w:rsidR="00900DBE" w:rsidRDefault="00900DBE" w:rsidP="00375C09">
            <w:pPr>
              <w:autoSpaceDE w:val="0"/>
              <w:autoSpaceDN w:val="0"/>
              <w:adjustRightInd w:val="0"/>
              <w:jc w:val="right"/>
              <w:rPr>
                <w:rFonts w:cstheme="minorHAnsi"/>
                <w:bCs/>
              </w:rPr>
            </w:pPr>
            <w:r>
              <w:rPr>
                <w:rFonts w:cstheme="minorHAnsi"/>
                <w:bCs/>
              </w:rPr>
              <w:t>-</w:t>
            </w:r>
          </w:p>
        </w:tc>
        <w:tc>
          <w:tcPr>
            <w:tcW w:w="1421" w:type="dxa"/>
            <w:tcBorders>
              <w:bottom w:val="single" w:sz="4" w:space="0" w:color="auto"/>
            </w:tcBorders>
          </w:tcPr>
          <w:p w:rsidR="00900DBE" w:rsidRDefault="0010314B" w:rsidP="00375C09">
            <w:pPr>
              <w:autoSpaceDE w:val="0"/>
              <w:autoSpaceDN w:val="0"/>
              <w:adjustRightInd w:val="0"/>
              <w:jc w:val="right"/>
              <w:rPr>
                <w:rFonts w:cstheme="minorHAnsi"/>
                <w:bCs/>
              </w:rPr>
            </w:pPr>
            <w:r>
              <w:rPr>
                <w:rFonts w:cstheme="minorHAnsi"/>
                <w:bCs/>
              </w:rPr>
              <w:t>(</w:t>
            </w:r>
            <w:r w:rsidR="00900DBE">
              <w:rPr>
                <w:rFonts w:cstheme="minorHAnsi"/>
                <w:bCs/>
              </w:rPr>
              <w:t>205</w:t>
            </w:r>
            <w:r>
              <w:rPr>
                <w:rFonts w:cstheme="minorHAnsi"/>
                <w:bCs/>
              </w:rPr>
              <w:t>)</w:t>
            </w:r>
          </w:p>
        </w:tc>
      </w:tr>
      <w:tr w:rsidR="00900DBE" w:rsidTr="0069293C">
        <w:tc>
          <w:tcPr>
            <w:tcW w:w="5776" w:type="dxa"/>
          </w:tcPr>
          <w:p w:rsidR="00900DBE" w:rsidRDefault="00900DBE" w:rsidP="00375C09">
            <w:pPr>
              <w:autoSpaceDE w:val="0"/>
              <w:autoSpaceDN w:val="0"/>
              <w:adjustRightInd w:val="0"/>
              <w:rPr>
                <w:rFonts w:cstheme="minorHAnsi"/>
                <w:bCs/>
              </w:rPr>
            </w:pPr>
          </w:p>
        </w:tc>
        <w:tc>
          <w:tcPr>
            <w:tcW w:w="1641" w:type="dxa"/>
            <w:tcBorders>
              <w:top w:val="single" w:sz="4" w:space="0" w:color="auto"/>
              <w:bottom w:val="single" w:sz="4" w:space="0" w:color="auto"/>
            </w:tcBorders>
          </w:tcPr>
          <w:p w:rsidR="00900DBE" w:rsidRPr="00900DBE" w:rsidRDefault="00900DBE" w:rsidP="00375C09">
            <w:pPr>
              <w:autoSpaceDE w:val="0"/>
              <w:autoSpaceDN w:val="0"/>
              <w:adjustRightInd w:val="0"/>
              <w:jc w:val="right"/>
              <w:rPr>
                <w:rFonts w:cstheme="minorHAnsi"/>
                <w:b/>
                <w:bCs/>
              </w:rPr>
            </w:pPr>
            <w:r w:rsidRPr="00900DBE">
              <w:rPr>
                <w:rFonts w:cstheme="minorHAnsi"/>
                <w:b/>
                <w:bCs/>
              </w:rPr>
              <w:t>827</w:t>
            </w:r>
          </w:p>
        </w:tc>
        <w:tc>
          <w:tcPr>
            <w:tcW w:w="1421" w:type="dxa"/>
            <w:tcBorders>
              <w:top w:val="single" w:sz="4" w:space="0" w:color="auto"/>
              <w:bottom w:val="single" w:sz="4" w:space="0" w:color="auto"/>
            </w:tcBorders>
          </w:tcPr>
          <w:p w:rsidR="00900DBE" w:rsidRPr="00900DBE" w:rsidRDefault="0010314B" w:rsidP="00375C09">
            <w:pPr>
              <w:autoSpaceDE w:val="0"/>
              <w:autoSpaceDN w:val="0"/>
              <w:adjustRightInd w:val="0"/>
              <w:jc w:val="right"/>
              <w:rPr>
                <w:rFonts w:cstheme="minorHAnsi"/>
                <w:b/>
                <w:bCs/>
              </w:rPr>
            </w:pPr>
            <w:r>
              <w:rPr>
                <w:rFonts w:cstheme="minorHAnsi"/>
                <w:b/>
                <w:bCs/>
              </w:rPr>
              <w:t>4,254</w:t>
            </w:r>
          </w:p>
        </w:tc>
      </w:tr>
    </w:tbl>
    <w:p w:rsidR="00900DBE" w:rsidRPr="00900DBE" w:rsidRDefault="00900DBE" w:rsidP="00900DBE">
      <w:pPr>
        <w:autoSpaceDE w:val="0"/>
        <w:autoSpaceDN w:val="0"/>
        <w:adjustRightInd w:val="0"/>
        <w:spacing w:after="0" w:line="240" w:lineRule="auto"/>
        <w:ind w:left="720"/>
        <w:jc w:val="both"/>
        <w:rPr>
          <w:rFonts w:cstheme="minorHAnsi"/>
          <w:bCs/>
        </w:rPr>
      </w:pPr>
      <w:r>
        <w:rPr>
          <w:rFonts w:cstheme="minorHAnsi"/>
          <w:bCs/>
        </w:rPr>
        <w:t>The effective tax rate is higher than the statutory tax rate due to certain non-allowable expenses.</w:t>
      </w:r>
    </w:p>
    <w:p w:rsidR="0069293C" w:rsidRPr="002F1C6E" w:rsidRDefault="0069293C" w:rsidP="0069293C">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69293C" w:rsidRDefault="0069293C" w:rsidP="0069293C">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69293C" w:rsidRDefault="0069293C" w:rsidP="00D208FE">
      <w:pPr>
        <w:autoSpaceDE w:val="0"/>
        <w:autoSpaceDN w:val="0"/>
        <w:adjustRightInd w:val="0"/>
        <w:spacing w:after="0" w:line="240" w:lineRule="auto"/>
        <w:rPr>
          <w:rFonts w:cstheme="minorHAnsi"/>
          <w:b/>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B6.</w:t>
      </w:r>
      <w:r w:rsidRPr="00627F38">
        <w:rPr>
          <w:rFonts w:cstheme="minorHAnsi"/>
          <w:b/>
          <w:bCs/>
        </w:rPr>
        <w:tab/>
        <w:t>Note to the Statement of Comprehensive Income</w:t>
      </w:r>
    </w:p>
    <w:p w:rsidR="00D208FE" w:rsidRDefault="00D208FE" w:rsidP="00D208FE">
      <w:pPr>
        <w:autoSpaceDE w:val="0"/>
        <w:autoSpaceDN w:val="0"/>
        <w:adjustRightInd w:val="0"/>
        <w:spacing w:after="0" w:line="240" w:lineRule="auto"/>
        <w:rPr>
          <w:rFonts w:cstheme="minorHAnsi"/>
          <w:b/>
          <w:bCs/>
        </w:rPr>
      </w:pPr>
    </w:p>
    <w:p w:rsidR="00AF7A58" w:rsidRPr="00AF7A58" w:rsidRDefault="00AF7A58" w:rsidP="00AF7A58">
      <w:pPr>
        <w:autoSpaceDE w:val="0"/>
        <w:autoSpaceDN w:val="0"/>
        <w:adjustRightInd w:val="0"/>
        <w:spacing w:after="0" w:line="240" w:lineRule="auto"/>
        <w:ind w:left="720"/>
        <w:rPr>
          <w:rFonts w:cstheme="minorHAnsi"/>
          <w:bCs/>
        </w:rPr>
      </w:pPr>
      <w:r w:rsidRPr="00AF7A58">
        <w:rPr>
          <w:rFonts w:cstheme="minorHAnsi"/>
          <w:bCs/>
        </w:rPr>
        <w:t>The note to the statement of comprehensive income is arrived at after charging or crediting the following items: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BB5EBB" w:rsidRDefault="0069293C" w:rsidP="00375C09">
            <w:pPr>
              <w:pStyle w:val="NoSpacing"/>
              <w:jc w:val="right"/>
            </w:pPr>
            <w:r w:rsidRPr="00BB5EBB">
              <w:t>Current</w:t>
            </w:r>
          </w:p>
        </w:tc>
        <w:tc>
          <w:tcPr>
            <w:tcW w:w="1421" w:type="dxa"/>
          </w:tcPr>
          <w:p w:rsidR="0069293C" w:rsidRPr="00BB5EBB" w:rsidRDefault="0069293C" w:rsidP="00375C09">
            <w:pPr>
              <w:pStyle w:val="NoSpacing"/>
              <w:jc w:val="right"/>
            </w:pPr>
            <w:r>
              <w:t>Current</w:t>
            </w:r>
          </w:p>
        </w:tc>
      </w:tr>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4C2064" w:rsidRDefault="0069293C" w:rsidP="00375C09">
            <w:pPr>
              <w:pStyle w:val="NoSpacing"/>
              <w:jc w:val="right"/>
            </w:pPr>
            <w:r w:rsidRPr="004C2064">
              <w:t>Year</w:t>
            </w:r>
          </w:p>
          <w:p w:rsidR="0069293C" w:rsidRPr="00BB5EBB" w:rsidRDefault="0069293C" w:rsidP="00375C09">
            <w:pPr>
              <w:pStyle w:val="NoSpacing"/>
              <w:jc w:val="right"/>
            </w:pPr>
            <w:r w:rsidRPr="004C2064">
              <w:t>Quarter</w:t>
            </w:r>
          </w:p>
        </w:tc>
        <w:tc>
          <w:tcPr>
            <w:tcW w:w="1421" w:type="dxa"/>
          </w:tcPr>
          <w:p w:rsidR="0069293C" w:rsidRDefault="0069293C" w:rsidP="00375C09">
            <w:pPr>
              <w:pStyle w:val="NoSpacing"/>
              <w:jc w:val="right"/>
            </w:pPr>
            <w:r w:rsidRPr="00BB5EBB">
              <w:t xml:space="preserve">Year </w:t>
            </w:r>
          </w:p>
          <w:p w:rsidR="0069293C" w:rsidRPr="00BB5EBB" w:rsidRDefault="0069293C" w:rsidP="00375C09">
            <w:pPr>
              <w:pStyle w:val="NoSpacing"/>
              <w:jc w:val="right"/>
            </w:pPr>
            <w:r>
              <w:t>T</w:t>
            </w:r>
            <w:r w:rsidRPr="00BB5EBB">
              <w:t>o date</w:t>
            </w:r>
          </w:p>
        </w:tc>
      </w:tr>
      <w:tr w:rsidR="0069293C" w:rsidRPr="00BB5EBB"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Pr="00BB5EBB" w:rsidRDefault="0069293C" w:rsidP="00375C09">
            <w:pPr>
              <w:pStyle w:val="NoSpacing"/>
              <w:jc w:val="right"/>
            </w:pPr>
            <w:r w:rsidRPr="00BB5EBB">
              <w:t>30.9.2012</w:t>
            </w:r>
          </w:p>
        </w:tc>
        <w:tc>
          <w:tcPr>
            <w:tcW w:w="1421" w:type="dxa"/>
          </w:tcPr>
          <w:p w:rsidR="0069293C" w:rsidRPr="00BB5EBB" w:rsidRDefault="0069293C" w:rsidP="00375C09">
            <w:pPr>
              <w:pStyle w:val="NoSpacing"/>
              <w:jc w:val="right"/>
            </w:pPr>
            <w:r>
              <w:t>30.9.2012</w:t>
            </w:r>
          </w:p>
        </w:tc>
      </w:tr>
      <w:tr w:rsidR="0069293C" w:rsidTr="004129EE">
        <w:tc>
          <w:tcPr>
            <w:tcW w:w="5776" w:type="dxa"/>
          </w:tcPr>
          <w:p w:rsidR="0069293C" w:rsidRDefault="0069293C" w:rsidP="00375C09">
            <w:pPr>
              <w:autoSpaceDE w:val="0"/>
              <w:autoSpaceDN w:val="0"/>
              <w:adjustRightInd w:val="0"/>
              <w:rPr>
                <w:rFonts w:cstheme="minorHAnsi"/>
                <w:bCs/>
              </w:rPr>
            </w:pPr>
          </w:p>
        </w:tc>
        <w:tc>
          <w:tcPr>
            <w:tcW w:w="1641" w:type="dxa"/>
          </w:tcPr>
          <w:p w:rsidR="0069293C" w:rsidRDefault="0069293C" w:rsidP="00375C09">
            <w:pPr>
              <w:autoSpaceDE w:val="0"/>
              <w:autoSpaceDN w:val="0"/>
              <w:adjustRightInd w:val="0"/>
              <w:jc w:val="right"/>
              <w:rPr>
                <w:rFonts w:cstheme="minorHAnsi"/>
                <w:bCs/>
              </w:rPr>
            </w:pPr>
            <w:r>
              <w:rPr>
                <w:rFonts w:cstheme="minorHAnsi"/>
                <w:bCs/>
              </w:rPr>
              <w:t>RM’000</w:t>
            </w:r>
          </w:p>
        </w:tc>
        <w:tc>
          <w:tcPr>
            <w:tcW w:w="1421" w:type="dxa"/>
          </w:tcPr>
          <w:p w:rsidR="0069293C" w:rsidRDefault="0069293C" w:rsidP="00375C09">
            <w:pPr>
              <w:autoSpaceDE w:val="0"/>
              <w:autoSpaceDN w:val="0"/>
              <w:adjustRightInd w:val="0"/>
              <w:jc w:val="right"/>
              <w:rPr>
                <w:rFonts w:cstheme="minorHAnsi"/>
                <w:bCs/>
              </w:rPr>
            </w:pPr>
            <w:r>
              <w:rPr>
                <w:rFonts w:cstheme="minorHAnsi"/>
                <w:bCs/>
              </w:rPr>
              <w:t>RM’000</w:t>
            </w:r>
          </w:p>
        </w:tc>
      </w:tr>
      <w:tr w:rsidR="0069293C" w:rsidTr="004129EE">
        <w:tc>
          <w:tcPr>
            <w:tcW w:w="5776" w:type="dxa"/>
          </w:tcPr>
          <w:p w:rsidR="0069293C" w:rsidRPr="00BB5EBB" w:rsidRDefault="0069293C" w:rsidP="00375C09">
            <w:pPr>
              <w:autoSpaceDE w:val="0"/>
              <w:autoSpaceDN w:val="0"/>
              <w:adjustRightInd w:val="0"/>
              <w:rPr>
                <w:rFonts w:cstheme="minorHAnsi"/>
                <w:bCs/>
              </w:rPr>
            </w:pPr>
            <w:r>
              <w:rPr>
                <w:rFonts w:cstheme="minorHAnsi"/>
                <w:bCs/>
              </w:rPr>
              <w:t>Interest income</w:t>
            </w:r>
          </w:p>
        </w:tc>
        <w:tc>
          <w:tcPr>
            <w:tcW w:w="1641" w:type="dxa"/>
          </w:tcPr>
          <w:p w:rsidR="0069293C" w:rsidRDefault="005A6D15" w:rsidP="00375C09">
            <w:pPr>
              <w:autoSpaceDE w:val="0"/>
              <w:autoSpaceDN w:val="0"/>
              <w:adjustRightInd w:val="0"/>
              <w:jc w:val="right"/>
              <w:rPr>
                <w:rFonts w:cstheme="minorHAnsi"/>
                <w:bCs/>
              </w:rPr>
            </w:pPr>
            <w:r>
              <w:rPr>
                <w:rFonts w:cstheme="minorHAnsi"/>
                <w:bCs/>
              </w:rPr>
              <w:t>(224)</w:t>
            </w:r>
          </w:p>
        </w:tc>
        <w:tc>
          <w:tcPr>
            <w:tcW w:w="1421" w:type="dxa"/>
          </w:tcPr>
          <w:p w:rsidR="0069293C" w:rsidRDefault="005A6D15" w:rsidP="00375C09">
            <w:pPr>
              <w:autoSpaceDE w:val="0"/>
              <w:autoSpaceDN w:val="0"/>
              <w:adjustRightInd w:val="0"/>
              <w:jc w:val="right"/>
              <w:rPr>
                <w:rFonts w:cstheme="minorHAnsi"/>
                <w:bCs/>
              </w:rPr>
            </w:pPr>
            <w:r>
              <w:rPr>
                <w:rFonts w:cstheme="minorHAnsi"/>
                <w:bCs/>
              </w:rPr>
              <w:t>(739)</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Other income</w:t>
            </w:r>
          </w:p>
        </w:tc>
        <w:tc>
          <w:tcPr>
            <w:tcW w:w="1641" w:type="dxa"/>
          </w:tcPr>
          <w:p w:rsidR="00181F38" w:rsidRDefault="005A6D15" w:rsidP="00375C09">
            <w:pPr>
              <w:autoSpaceDE w:val="0"/>
              <w:autoSpaceDN w:val="0"/>
              <w:adjustRightInd w:val="0"/>
              <w:jc w:val="right"/>
              <w:rPr>
                <w:rFonts w:cstheme="minorHAnsi"/>
                <w:bCs/>
              </w:rPr>
            </w:pPr>
            <w:r>
              <w:rPr>
                <w:rFonts w:cstheme="minorHAnsi"/>
                <w:bCs/>
              </w:rPr>
              <w:t>(243)</w:t>
            </w:r>
          </w:p>
        </w:tc>
        <w:tc>
          <w:tcPr>
            <w:tcW w:w="1421" w:type="dxa"/>
          </w:tcPr>
          <w:p w:rsidR="00181F38" w:rsidRDefault="005A6D15" w:rsidP="00375C09">
            <w:pPr>
              <w:autoSpaceDE w:val="0"/>
              <w:autoSpaceDN w:val="0"/>
              <w:adjustRightInd w:val="0"/>
              <w:jc w:val="right"/>
              <w:rPr>
                <w:rFonts w:cstheme="minorHAnsi"/>
                <w:bCs/>
              </w:rPr>
            </w:pPr>
            <w:r>
              <w:rPr>
                <w:rFonts w:cstheme="minorHAnsi"/>
                <w:bCs/>
              </w:rPr>
              <w:t>(428)</w:t>
            </w:r>
          </w:p>
        </w:tc>
      </w:tr>
      <w:tr w:rsidR="0069293C" w:rsidTr="004129EE">
        <w:tc>
          <w:tcPr>
            <w:tcW w:w="5776" w:type="dxa"/>
          </w:tcPr>
          <w:p w:rsidR="0069293C" w:rsidRDefault="0069293C" w:rsidP="0069293C">
            <w:pPr>
              <w:autoSpaceDE w:val="0"/>
              <w:autoSpaceDN w:val="0"/>
              <w:adjustRightInd w:val="0"/>
              <w:rPr>
                <w:rFonts w:cstheme="minorHAnsi"/>
                <w:bCs/>
              </w:rPr>
            </w:pPr>
            <w:r>
              <w:rPr>
                <w:rFonts w:cstheme="minorHAnsi"/>
                <w:bCs/>
              </w:rPr>
              <w:t>Interest expense</w:t>
            </w:r>
          </w:p>
        </w:tc>
        <w:tc>
          <w:tcPr>
            <w:tcW w:w="1641" w:type="dxa"/>
          </w:tcPr>
          <w:p w:rsidR="0069293C" w:rsidRDefault="00DE7C7E" w:rsidP="00375C09">
            <w:pPr>
              <w:autoSpaceDE w:val="0"/>
              <w:autoSpaceDN w:val="0"/>
              <w:adjustRightInd w:val="0"/>
              <w:jc w:val="right"/>
              <w:rPr>
                <w:rFonts w:cstheme="minorHAnsi"/>
                <w:bCs/>
              </w:rPr>
            </w:pPr>
            <w:r>
              <w:rPr>
                <w:rFonts w:cstheme="minorHAnsi"/>
                <w:bCs/>
              </w:rPr>
              <w:t>23</w:t>
            </w:r>
          </w:p>
        </w:tc>
        <w:tc>
          <w:tcPr>
            <w:tcW w:w="1421" w:type="dxa"/>
          </w:tcPr>
          <w:p w:rsidR="0069293C" w:rsidRDefault="002F450B" w:rsidP="00375C09">
            <w:pPr>
              <w:autoSpaceDE w:val="0"/>
              <w:autoSpaceDN w:val="0"/>
              <w:adjustRightInd w:val="0"/>
              <w:jc w:val="right"/>
              <w:rPr>
                <w:rFonts w:cstheme="minorHAnsi"/>
                <w:bCs/>
              </w:rPr>
            </w:pPr>
            <w:r>
              <w:rPr>
                <w:rFonts w:cstheme="minorHAnsi"/>
                <w:bCs/>
              </w:rPr>
              <w:t>85</w:t>
            </w:r>
          </w:p>
        </w:tc>
      </w:tr>
      <w:tr w:rsidR="0069293C" w:rsidTr="004129EE">
        <w:tc>
          <w:tcPr>
            <w:tcW w:w="5776" w:type="dxa"/>
          </w:tcPr>
          <w:p w:rsidR="0069293C" w:rsidRDefault="0069293C" w:rsidP="00375C09">
            <w:pPr>
              <w:autoSpaceDE w:val="0"/>
              <w:autoSpaceDN w:val="0"/>
              <w:adjustRightInd w:val="0"/>
              <w:rPr>
                <w:rFonts w:cstheme="minorHAnsi"/>
                <w:bCs/>
              </w:rPr>
            </w:pPr>
            <w:r>
              <w:rPr>
                <w:rFonts w:cstheme="minorHAnsi"/>
                <w:bCs/>
              </w:rPr>
              <w:t>Depreciation charges</w:t>
            </w:r>
          </w:p>
        </w:tc>
        <w:tc>
          <w:tcPr>
            <w:tcW w:w="1641" w:type="dxa"/>
          </w:tcPr>
          <w:p w:rsidR="0069293C" w:rsidRDefault="00987E9F" w:rsidP="00375C09">
            <w:pPr>
              <w:autoSpaceDE w:val="0"/>
              <w:autoSpaceDN w:val="0"/>
              <w:adjustRightInd w:val="0"/>
              <w:jc w:val="right"/>
              <w:rPr>
                <w:rFonts w:cstheme="minorHAnsi"/>
                <w:bCs/>
              </w:rPr>
            </w:pPr>
            <w:r>
              <w:rPr>
                <w:rFonts w:cstheme="minorHAnsi"/>
                <w:bCs/>
              </w:rPr>
              <w:t>884</w:t>
            </w:r>
          </w:p>
        </w:tc>
        <w:tc>
          <w:tcPr>
            <w:tcW w:w="1421" w:type="dxa"/>
          </w:tcPr>
          <w:p w:rsidR="0069293C" w:rsidRDefault="00987E9F" w:rsidP="00375C09">
            <w:pPr>
              <w:autoSpaceDE w:val="0"/>
              <w:autoSpaceDN w:val="0"/>
              <w:adjustRightInd w:val="0"/>
              <w:jc w:val="right"/>
              <w:rPr>
                <w:rFonts w:cstheme="minorHAnsi"/>
                <w:bCs/>
              </w:rPr>
            </w:pPr>
            <w:r>
              <w:rPr>
                <w:rFonts w:cstheme="minorHAnsi"/>
                <w:bCs/>
              </w:rPr>
              <w:t>2,642</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Provision for and write off of receivables</w:t>
            </w:r>
          </w:p>
        </w:tc>
        <w:tc>
          <w:tcPr>
            <w:tcW w:w="1641" w:type="dxa"/>
          </w:tcPr>
          <w:p w:rsidR="00181F38" w:rsidRDefault="005A6D15" w:rsidP="00375C09">
            <w:pPr>
              <w:autoSpaceDE w:val="0"/>
              <w:autoSpaceDN w:val="0"/>
              <w:adjustRightInd w:val="0"/>
              <w:jc w:val="right"/>
              <w:rPr>
                <w:rFonts w:cstheme="minorHAnsi"/>
                <w:bCs/>
              </w:rPr>
            </w:pPr>
            <w:r>
              <w:rPr>
                <w:rFonts w:cstheme="minorHAnsi"/>
                <w:bCs/>
              </w:rPr>
              <w:t>-</w:t>
            </w:r>
          </w:p>
        </w:tc>
        <w:tc>
          <w:tcPr>
            <w:tcW w:w="1421" w:type="dxa"/>
          </w:tcPr>
          <w:p w:rsidR="00181F38" w:rsidRDefault="005A6D15"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Provision for and write off of inventories</w:t>
            </w:r>
          </w:p>
        </w:tc>
        <w:tc>
          <w:tcPr>
            <w:tcW w:w="1641" w:type="dxa"/>
          </w:tcPr>
          <w:p w:rsidR="00181F38" w:rsidRDefault="005A6D15" w:rsidP="00375C09">
            <w:pPr>
              <w:autoSpaceDE w:val="0"/>
              <w:autoSpaceDN w:val="0"/>
              <w:adjustRightInd w:val="0"/>
              <w:jc w:val="right"/>
              <w:rPr>
                <w:rFonts w:cstheme="minorHAnsi"/>
                <w:bCs/>
              </w:rPr>
            </w:pPr>
            <w:r>
              <w:rPr>
                <w:rFonts w:cstheme="minorHAnsi"/>
                <w:bCs/>
              </w:rPr>
              <w:t>-</w:t>
            </w:r>
          </w:p>
        </w:tc>
        <w:tc>
          <w:tcPr>
            <w:tcW w:w="1421" w:type="dxa"/>
          </w:tcPr>
          <w:p w:rsidR="005A6D15" w:rsidRDefault="005A6D15" w:rsidP="005A6D15">
            <w:pPr>
              <w:autoSpaceDE w:val="0"/>
              <w:autoSpaceDN w:val="0"/>
              <w:adjustRightInd w:val="0"/>
              <w:jc w:val="right"/>
              <w:rPr>
                <w:rFonts w:cstheme="minorHAnsi"/>
                <w:bCs/>
              </w:rPr>
            </w:pPr>
            <w:r>
              <w:rPr>
                <w:rFonts w:cstheme="minorHAnsi"/>
                <w:bCs/>
              </w:rPr>
              <w:t>149</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on disposal of property, plant and equipment</w:t>
            </w:r>
          </w:p>
        </w:tc>
        <w:tc>
          <w:tcPr>
            <w:tcW w:w="1641" w:type="dxa"/>
          </w:tcPr>
          <w:p w:rsidR="00181F38" w:rsidRDefault="005A6D15" w:rsidP="00375C09">
            <w:pPr>
              <w:autoSpaceDE w:val="0"/>
              <w:autoSpaceDN w:val="0"/>
              <w:adjustRightInd w:val="0"/>
              <w:jc w:val="right"/>
              <w:rPr>
                <w:rFonts w:cstheme="minorHAnsi"/>
                <w:bCs/>
              </w:rPr>
            </w:pPr>
            <w:r>
              <w:rPr>
                <w:rFonts w:cstheme="minorHAnsi"/>
                <w:bCs/>
              </w:rPr>
              <w:t>(30)</w:t>
            </w:r>
          </w:p>
        </w:tc>
        <w:tc>
          <w:tcPr>
            <w:tcW w:w="1421" w:type="dxa"/>
          </w:tcPr>
          <w:p w:rsidR="00181F38" w:rsidRDefault="005A6D15" w:rsidP="00375C09">
            <w:pPr>
              <w:autoSpaceDE w:val="0"/>
              <w:autoSpaceDN w:val="0"/>
              <w:adjustRightInd w:val="0"/>
              <w:jc w:val="right"/>
              <w:rPr>
                <w:rFonts w:cstheme="minorHAnsi"/>
                <w:bCs/>
              </w:rPr>
            </w:pPr>
            <w:r>
              <w:rPr>
                <w:rFonts w:cstheme="minorHAnsi"/>
                <w:bCs/>
              </w:rPr>
              <w:t>(90)</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or loss on disposal of quoted or unquoted investment or properties*</w:t>
            </w:r>
          </w:p>
        </w:tc>
        <w:tc>
          <w:tcPr>
            <w:tcW w:w="1641" w:type="dxa"/>
          </w:tcPr>
          <w:p w:rsidR="00181F38" w:rsidRDefault="00181F38" w:rsidP="00375C09">
            <w:pPr>
              <w:autoSpaceDE w:val="0"/>
              <w:autoSpaceDN w:val="0"/>
              <w:adjustRightInd w:val="0"/>
              <w:jc w:val="right"/>
              <w:rPr>
                <w:rFonts w:cstheme="minorHAnsi"/>
                <w:bCs/>
              </w:rPr>
            </w:pPr>
          </w:p>
          <w:p w:rsidR="00181F38" w:rsidRDefault="00B97E00" w:rsidP="00B97E00">
            <w:pPr>
              <w:autoSpaceDE w:val="0"/>
              <w:autoSpaceDN w:val="0"/>
              <w:adjustRightInd w:val="0"/>
              <w:jc w:val="right"/>
              <w:rPr>
                <w:rFonts w:cstheme="minorHAnsi"/>
                <w:bCs/>
              </w:rPr>
            </w:pPr>
            <w:r>
              <w:rPr>
                <w:rFonts w:cstheme="minorHAnsi"/>
                <w:bCs/>
              </w:rPr>
              <w:t>3,099</w:t>
            </w:r>
          </w:p>
        </w:tc>
        <w:tc>
          <w:tcPr>
            <w:tcW w:w="1421" w:type="dxa"/>
          </w:tcPr>
          <w:p w:rsidR="00181F38" w:rsidRDefault="00181F38" w:rsidP="00375C09">
            <w:pPr>
              <w:autoSpaceDE w:val="0"/>
              <w:autoSpaceDN w:val="0"/>
              <w:adjustRightInd w:val="0"/>
              <w:jc w:val="right"/>
              <w:rPr>
                <w:rFonts w:cstheme="minorHAnsi"/>
                <w:bCs/>
              </w:rPr>
            </w:pPr>
          </w:p>
          <w:p w:rsidR="00181F38" w:rsidRDefault="00181F38"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Impairment of assets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r w:rsidR="0069293C" w:rsidTr="004129EE">
        <w:tc>
          <w:tcPr>
            <w:tcW w:w="5776" w:type="dxa"/>
          </w:tcPr>
          <w:p w:rsidR="0069293C" w:rsidRDefault="00181F38" w:rsidP="00375C09">
            <w:pPr>
              <w:autoSpaceDE w:val="0"/>
              <w:autoSpaceDN w:val="0"/>
              <w:adjustRightInd w:val="0"/>
              <w:rPr>
                <w:rFonts w:cstheme="minorHAnsi"/>
                <w:bCs/>
              </w:rPr>
            </w:pPr>
            <w:r>
              <w:rPr>
                <w:rFonts w:cstheme="minorHAnsi"/>
                <w:bCs/>
              </w:rPr>
              <w:t>Foreign exchange (gain)/loss</w:t>
            </w:r>
          </w:p>
        </w:tc>
        <w:tc>
          <w:tcPr>
            <w:tcW w:w="1641" w:type="dxa"/>
          </w:tcPr>
          <w:p w:rsidR="0069293C" w:rsidRDefault="00375C09" w:rsidP="00375C09">
            <w:pPr>
              <w:autoSpaceDE w:val="0"/>
              <w:autoSpaceDN w:val="0"/>
              <w:adjustRightInd w:val="0"/>
              <w:jc w:val="right"/>
              <w:rPr>
                <w:rFonts w:cstheme="minorHAnsi"/>
                <w:bCs/>
              </w:rPr>
            </w:pPr>
            <w:r>
              <w:rPr>
                <w:rFonts w:cstheme="minorHAnsi"/>
                <w:bCs/>
              </w:rPr>
              <w:t>38</w:t>
            </w:r>
          </w:p>
        </w:tc>
        <w:tc>
          <w:tcPr>
            <w:tcW w:w="1421" w:type="dxa"/>
          </w:tcPr>
          <w:p w:rsidR="0069293C" w:rsidRDefault="005A6D15" w:rsidP="00375C09">
            <w:pPr>
              <w:autoSpaceDE w:val="0"/>
              <w:autoSpaceDN w:val="0"/>
              <w:adjustRightInd w:val="0"/>
              <w:jc w:val="right"/>
              <w:rPr>
                <w:rFonts w:cstheme="minorHAnsi"/>
                <w:bCs/>
              </w:rPr>
            </w:pPr>
            <w:r>
              <w:rPr>
                <w:rFonts w:cstheme="minorHAnsi"/>
                <w:bCs/>
              </w:rPr>
              <w:t>(136)</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Gain or loss on derivatives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r w:rsidR="00181F38" w:rsidTr="004129EE">
        <w:tc>
          <w:tcPr>
            <w:tcW w:w="5776" w:type="dxa"/>
          </w:tcPr>
          <w:p w:rsidR="00181F38" w:rsidRDefault="00181F38" w:rsidP="00375C09">
            <w:pPr>
              <w:autoSpaceDE w:val="0"/>
              <w:autoSpaceDN w:val="0"/>
              <w:adjustRightInd w:val="0"/>
              <w:rPr>
                <w:rFonts w:cstheme="minorHAnsi"/>
                <w:bCs/>
              </w:rPr>
            </w:pPr>
            <w:r>
              <w:rPr>
                <w:rFonts w:cstheme="minorHAnsi"/>
                <w:bCs/>
              </w:rPr>
              <w:t>Exceptional items</w:t>
            </w:r>
          </w:p>
        </w:tc>
        <w:tc>
          <w:tcPr>
            <w:tcW w:w="1641" w:type="dxa"/>
          </w:tcPr>
          <w:p w:rsidR="00181F38" w:rsidRDefault="00181F38" w:rsidP="00375C09">
            <w:pPr>
              <w:autoSpaceDE w:val="0"/>
              <w:autoSpaceDN w:val="0"/>
              <w:adjustRightInd w:val="0"/>
              <w:jc w:val="right"/>
              <w:rPr>
                <w:rFonts w:cstheme="minorHAnsi"/>
                <w:bCs/>
              </w:rPr>
            </w:pPr>
            <w:r>
              <w:rPr>
                <w:rFonts w:cstheme="minorHAnsi"/>
                <w:bCs/>
              </w:rPr>
              <w:t>-</w:t>
            </w:r>
          </w:p>
        </w:tc>
        <w:tc>
          <w:tcPr>
            <w:tcW w:w="1421" w:type="dxa"/>
          </w:tcPr>
          <w:p w:rsidR="00181F38" w:rsidRDefault="00181F38" w:rsidP="00375C09">
            <w:pPr>
              <w:autoSpaceDE w:val="0"/>
              <w:autoSpaceDN w:val="0"/>
              <w:adjustRightInd w:val="0"/>
              <w:jc w:val="right"/>
              <w:rPr>
                <w:rFonts w:cstheme="minorHAnsi"/>
                <w:bCs/>
              </w:rPr>
            </w:pPr>
            <w:r>
              <w:rPr>
                <w:rFonts w:cstheme="minorHAnsi"/>
                <w:bCs/>
              </w:rPr>
              <w:t>-</w:t>
            </w:r>
          </w:p>
        </w:tc>
      </w:tr>
    </w:tbl>
    <w:p w:rsidR="0069293C" w:rsidRDefault="00181F38" w:rsidP="00181F38">
      <w:pPr>
        <w:autoSpaceDE w:val="0"/>
        <w:autoSpaceDN w:val="0"/>
        <w:adjustRightInd w:val="0"/>
        <w:spacing w:after="0" w:line="240" w:lineRule="auto"/>
        <w:rPr>
          <w:rFonts w:cstheme="minorHAnsi"/>
          <w:bCs/>
        </w:rPr>
      </w:pPr>
      <w:r w:rsidRPr="00181F38">
        <w:rPr>
          <w:rFonts w:cstheme="minorHAnsi"/>
          <w:b/>
          <w:bCs/>
        </w:rPr>
        <w:tab/>
      </w:r>
      <w:r>
        <w:rPr>
          <w:rFonts w:cstheme="minorHAnsi"/>
          <w:b/>
          <w:bCs/>
        </w:rPr>
        <w:t xml:space="preserve">* </w:t>
      </w:r>
      <w:r>
        <w:rPr>
          <w:rFonts w:cstheme="minorHAnsi"/>
          <w:bCs/>
        </w:rPr>
        <w:t xml:space="preserve">Being loss on disposal of investment in </w:t>
      </w:r>
      <w:proofErr w:type="spellStart"/>
      <w:r>
        <w:rPr>
          <w:rFonts w:cstheme="minorHAnsi"/>
          <w:bCs/>
        </w:rPr>
        <w:t>Mithril</w:t>
      </w:r>
      <w:proofErr w:type="spellEnd"/>
      <w:r>
        <w:rPr>
          <w:rFonts w:cstheme="minorHAnsi"/>
          <w:bCs/>
        </w:rPr>
        <w:t xml:space="preserve"> </w:t>
      </w:r>
      <w:proofErr w:type="spellStart"/>
      <w:r>
        <w:rPr>
          <w:rFonts w:cstheme="minorHAnsi"/>
          <w:bCs/>
        </w:rPr>
        <w:t>Berhad</w:t>
      </w:r>
      <w:proofErr w:type="spellEnd"/>
      <w:r>
        <w:rPr>
          <w:rFonts w:cstheme="minorHAnsi"/>
          <w:bCs/>
        </w:rPr>
        <w:t>.</w:t>
      </w:r>
    </w:p>
    <w:p w:rsidR="00181F38" w:rsidRPr="00181F38" w:rsidRDefault="00181F38" w:rsidP="00181F38">
      <w:pPr>
        <w:autoSpaceDE w:val="0"/>
        <w:autoSpaceDN w:val="0"/>
        <w:adjustRightInd w:val="0"/>
        <w:spacing w:after="0" w:line="240" w:lineRule="auto"/>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B7.</w:t>
      </w:r>
      <w:r w:rsidRPr="00627F38">
        <w:rPr>
          <w:rFonts w:cstheme="minorHAnsi"/>
          <w:b/>
          <w:bCs/>
        </w:rPr>
        <w:tab/>
        <w:t>Status of Corporate Proposal</w:t>
      </w:r>
    </w:p>
    <w:p w:rsidR="00D208FE" w:rsidRDefault="00D208FE" w:rsidP="00D208FE">
      <w:pPr>
        <w:autoSpaceDE w:val="0"/>
        <w:autoSpaceDN w:val="0"/>
        <w:adjustRightInd w:val="0"/>
        <w:spacing w:after="0" w:line="240" w:lineRule="auto"/>
        <w:rPr>
          <w:rFonts w:cstheme="minorHAnsi"/>
          <w:b/>
          <w:bCs/>
        </w:rPr>
      </w:pPr>
    </w:p>
    <w:p w:rsidR="00331815" w:rsidRPr="00331815" w:rsidRDefault="00331815" w:rsidP="00331815">
      <w:pPr>
        <w:pStyle w:val="ListParagraph"/>
        <w:numPr>
          <w:ilvl w:val="0"/>
          <w:numId w:val="14"/>
        </w:numPr>
        <w:autoSpaceDE w:val="0"/>
        <w:autoSpaceDN w:val="0"/>
        <w:adjustRightInd w:val="0"/>
        <w:spacing w:after="0" w:line="240" w:lineRule="auto"/>
        <w:rPr>
          <w:rFonts w:cstheme="minorHAnsi"/>
          <w:b/>
          <w:bCs/>
        </w:rPr>
      </w:pPr>
      <w:r w:rsidRPr="00331815">
        <w:rPr>
          <w:rFonts w:cstheme="minorHAnsi"/>
          <w:b/>
          <w:bCs/>
        </w:rPr>
        <w:t>The Proposed Restructuring Exercise</w:t>
      </w:r>
    </w:p>
    <w:p w:rsidR="00331815" w:rsidRDefault="00331815" w:rsidP="00331815">
      <w:pPr>
        <w:pStyle w:val="ListParagraph"/>
        <w:autoSpaceDE w:val="0"/>
        <w:autoSpaceDN w:val="0"/>
        <w:adjustRightInd w:val="0"/>
        <w:spacing w:after="0" w:line="240" w:lineRule="auto"/>
        <w:ind w:left="1440"/>
        <w:rPr>
          <w:rFonts w:cstheme="minorHAnsi"/>
          <w:bCs/>
        </w:rPr>
      </w:pPr>
    </w:p>
    <w:p w:rsidR="00331815" w:rsidRDefault="00331815" w:rsidP="00505AEA">
      <w:pPr>
        <w:pStyle w:val="ListParagraph"/>
        <w:autoSpaceDE w:val="0"/>
        <w:autoSpaceDN w:val="0"/>
        <w:adjustRightInd w:val="0"/>
        <w:spacing w:after="0" w:line="240" w:lineRule="auto"/>
        <w:ind w:left="1440"/>
        <w:jc w:val="both"/>
        <w:rPr>
          <w:rFonts w:cstheme="minorHAnsi"/>
          <w:bCs/>
        </w:rPr>
      </w:pPr>
      <w:r>
        <w:rPr>
          <w:rFonts w:cstheme="minorHAnsi"/>
          <w:bCs/>
        </w:rPr>
        <w:t xml:space="preserve">The Proposed Restructuring Exercise of </w:t>
      </w:r>
      <w:proofErr w:type="spellStart"/>
      <w:r>
        <w:rPr>
          <w:rFonts w:cstheme="minorHAnsi"/>
          <w:bCs/>
        </w:rPr>
        <w:t>Mithril</w:t>
      </w:r>
      <w:proofErr w:type="spellEnd"/>
      <w:r>
        <w:rPr>
          <w:rFonts w:cstheme="minorHAnsi"/>
          <w:bCs/>
        </w:rPr>
        <w:t xml:space="preserve"> </w:t>
      </w:r>
      <w:proofErr w:type="spellStart"/>
      <w:r>
        <w:rPr>
          <w:rFonts w:cstheme="minorHAnsi"/>
          <w:bCs/>
        </w:rPr>
        <w:t>Berhad</w:t>
      </w:r>
      <w:proofErr w:type="spellEnd"/>
      <w:r>
        <w:rPr>
          <w:rFonts w:cstheme="minorHAnsi"/>
          <w:bCs/>
        </w:rPr>
        <w:t xml:space="preserve"> as disclosed in the Explanatory Statement-Cum-Circular dated 11 July 2012 was completed on 28 September 2012. </w:t>
      </w:r>
      <w:proofErr w:type="spellStart"/>
      <w:r>
        <w:rPr>
          <w:rFonts w:cstheme="minorHAnsi"/>
          <w:bCs/>
        </w:rPr>
        <w:t>Pesona</w:t>
      </w:r>
      <w:proofErr w:type="spellEnd"/>
      <w:r>
        <w:rPr>
          <w:rFonts w:cstheme="minorHAnsi"/>
          <w:bCs/>
        </w:rPr>
        <w:t xml:space="preserve"> Metro Holdings </w:t>
      </w:r>
      <w:proofErr w:type="spellStart"/>
      <w:r>
        <w:rPr>
          <w:rFonts w:cstheme="minorHAnsi"/>
          <w:bCs/>
        </w:rPr>
        <w:t>Berhad</w:t>
      </w:r>
      <w:proofErr w:type="spellEnd"/>
      <w:r>
        <w:rPr>
          <w:rFonts w:cstheme="minorHAnsi"/>
          <w:bCs/>
        </w:rPr>
        <w:t xml:space="preserve"> was listed on 10 October 2012.</w:t>
      </w:r>
    </w:p>
    <w:p w:rsidR="00331815" w:rsidRDefault="00331815" w:rsidP="00331815">
      <w:pPr>
        <w:pStyle w:val="ListParagraph"/>
        <w:autoSpaceDE w:val="0"/>
        <w:autoSpaceDN w:val="0"/>
        <w:adjustRightInd w:val="0"/>
        <w:spacing w:after="0" w:line="240" w:lineRule="auto"/>
        <w:ind w:left="1440"/>
        <w:rPr>
          <w:rFonts w:cstheme="minorHAnsi"/>
          <w:bCs/>
        </w:rPr>
      </w:pPr>
    </w:p>
    <w:p w:rsidR="00331815" w:rsidRPr="00AF7A58" w:rsidRDefault="00331815" w:rsidP="00331815">
      <w:pPr>
        <w:pStyle w:val="ListParagraph"/>
        <w:numPr>
          <w:ilvl w:val="0"/>
          <w:numId w:val="14"/>
        </w:numPr>
        <w:autoSpaceDE w:val="0"/>
        <w:autoSpaceDN w:val="0"/>
        <w:adjustRightInd w:val="0"/>
        <w:spacing w:after="0" w:line="240" w:lineRule="auto"/>
        <w:rPr>
          <w:rFonts w:cstheme="minorHAnsi"/>
          <w:bCs/>
        </w:rPr>
      </w:pPr>
      <w:proofErr w:type="spellStart"/>
      <w:r w:rsidRPr="00AF7A58">
        <w:rPr>
          <w:rFonts w:cstheme="minorHAnsi"/>
          <w:b/>
          <w:bCs/>
        </w:rPr>
        <w:t>Utilisation</w:t>
      </w:r>
      <w:proofErr w:type="spellEnd"/>
      <w:r w:rsidRPr="00AF7A58">
        <w:rPr>
          <w:rFonts w:cstheme="minorHAnsi"/>
          <w:b/>
          <w:bCs/>
        </w:rPr>
        <w:t xml:space="preserve"> of Proceeds</w:t>
      </w:r>
    </w:p>
    <w:tbl>
      <w:tblPr>
        <w:tblStyle w:val="TableGrid"/>
        <w:tblW w:w="0" w:type="auto"/>
        <w:tblInd w:w="738" w:type="dxa"/>
        <w:tblBorders>
          <w:insideH w:val="single" w:sz="6" w:space="0" w:color="auto"/>
          <w:insideV w:val="single" w:sz="6" w:space="0" w:color="auto"/>
        </w:tblBorders>
        <w:tblLayout w:type="fixed"/>
        <w:tblLook w:val="04A0" w:firstRow="1" w:lastRow="0" w:firstColumn="1" w:lastColumn="0" w:noHBand="0" w:noVBand="1"/>
      </w:tblPr>
      <w:tblGrid>
        <w:gridCol w:w="2196"/>
        <w:gridCol w:w="1161"/>
        <w:gridCol w:w="1161"/>
        <w:gridCol w:w="1332"/>
        <w:gridCol w:w="939"/>
        <w:gridCol w:w="591"/>
        <w:gridCol w:w="1458"/>
      </w:tblGrid>
      <w:tr w:rsidR="00C33941" w:rsidRPr="00BB5EBB" w:rsidTr="00505AEA">
        <w:tc>
          <w:tcPr>
            <w:tcW w:w="2196" w:type="dxa"/>
          </w:tcPr>
          <w:p w:rsidR="007356C6" w:rsidRDefault="007356C6" w:rsidP="007356C6">
            <w:pPr>
              <w:autoSpaceDE w:val="0"/>
              <w:autoSpaceDN w:val="0"/>
              <w:adjustRightInd w:val="0"/>
              <w:jc w:val="center"/>
              <w:rPr>
                <w:rFonts w:cstheme="minorHAnsi"/>
                <w:b/>
                <w:bCs/>
              </w:rPr>
            </w:pPr>
          </w:p>
          <w:p w:rsidR="007356C6" w:rsidRDefault="007356C6" w:rsidP="007356C6">
            <w:pPr>
              <w:autoSpaceDE w:val="0"/>
              <w:autoSpaceDN w:val="0"/>
              <w:adjustRightInd w:val="0"/>
              <w:jc w:val="center"/>
              <w:rPr>
                <w:rFonts w:cstheme="minorHAnsi"/>
                <w:b/>
                <w:bCs/>
              </w:rPr>
            </w:pPr>
          </w:p>
          <w:p w:rsidR="007356C6" w:rsidRDefault="007356C6" w:rsidP="007356C6">
            <w:pPr>
              <w:autoSpaceDE w:val="0"/>
              <w:autoSpaceDN w:val="0"/>
              <w:adjustRightInd w:val="0"/>
              <w:jc w:val="center"/>
              <w:rPr>
                <w:rFonts w:cstheme="minorHAnsi"/>
                <w:b/>
                <w:bCs/>
              </w:rPr>
            </w:pPr>
          </w:p>
          <w:p w:rsidR="00C33941" w:rsidRPr="00C33941" w:rsidRDefault="00C33941" w:rsidP="007356C6">
            <w:pPr>
              <w:autoSpaceDE w:val="0"/>
              <w:autoSpaceDN w:val="0"/>
              <w:adjustRightInd w:val="0"/>
              <w:jc w:val="center"/>
              <w:rPr>
                <w:rFonts w:cstheme="minorHAnsi"/>
                <w:b/>
                <w:bCs/>
              </w:rPr>
            </w:pPr>
            <w:r w:rsidRPr="00C33941">
              <w:rPr>
                <w:rFonts w:cstheme="minorHAnsi"/>
                <w:b/>
                <w:bCs/>
              </w:rPr>
              <w:t>Purpose</w:t>
            </w:r>
          </w:p>
        </w:tc>
        <w:tc>
          <w:tcPr>
            <w:tcW w:w="1161" w:type="dxa"/>
          </w:tcPr>
          <w:p w:rsidR="007356C6" w:rsidRDefault="007356C6" w:rsidP="007356C6">
            <w:pPr>
              <w:pStyle w:val="NoSpacing"/>
              <w:jc w:val="center"/>
              <w:rPr>
                <w:b/>
              </w:rPr>
            </w:pPr>
          </w:p>
          <w:p w:rsidR="007356C6" w:rsidRDefault="007356C6" w:rsidP="007356C6">
            <w:pPr>
              <w:pStyle w:val="NoSpacing"/>
              <w:jc w:val="center"/>
              <w:rPr>
                <w:b/>
              </w:rPr>
            </w:pPr>
          </w:p>
          <w:p w:rsidR="00C33941" w:rsidRPr="00C33941" w:rsidRDefault="00C33941" w:rsidP="007356C6">
            <w:pPr>
              <w:pStyle w:val="NoSpacing"/>
              <w:jc w:val="center"/>
              <w:rPr>
                <w:b/>
              </w:rPr>
            </w:pPr>
            <w:r w:rsidRPr="00C33941">
              <w:rPr>
                <w:b/>
              </w:rPr>
              <w:t xml:space="preserve">Proposed </w:t>
            </w:r>
            <w:proofErr w:type="spellStart"/>
            <w:r w:rsidRPr="00C33941">
              <w:rPr>
                <w:b/>
              </w:rPr>
              <w:t>Utilisation</w:t>
            </w:r>
            <w:proofErr w:type="spellEnd"/>
          </w:p>
        </w:tc>
        <w:tc>
          <w:tcPr>
            <w:tcW w:w="1161" w:type="dxa"/>
          </w:tcPr>
          <w:p w:rsidR="007356C6" w:rsidRDefault="007356C6" w:rsidP="007356C6">
            <w:pPr>
              <w:pStyle w:val="NoSpacing"/>
              <w:jc w:val="center"/>
              <w:rPr>
                <w:b/>
              </w:rPr>
            </w:pPr>
          </w:p>
          <w:p w:rsidR="007356C6" w:rsidRDefault="007356C6" w:rsidP="007356C6">
            <w:pPr>
              <w:pStyle w:val="NoSpacing"/>
              <w:jc w:val="center"/>
              <w:rPr>
                <w:b/>
              </w:rPr>
            </w:pPr>
          </w:p>
          <w:p w:rsidR="00C33941" w:rsidRPr="00C33941" w:rsidRDefault="00C33941" w:rsidP="007356C6">
            <w:pPr>
              <w:pStyle w:val="NoSpacing"/>
              <w:jc w:val="center"/>
              <w:rPr>
                <w:b/>
              </w:rPr>
            </w:pPr>
            <w:r w:rsidRPr="00C33941">
              <w:rPr>
                <w:b/>
              </w:rPr>
              <w:t>Actual</w:t>
            </w:r>
          </w:p>
          <w:p w:rsidR="00C33941" w:rsidRPr="00C33941" w:rsidRDefault="00C33941" w:rsidP="007356C6">
            <w:pPr>
              <w:pStyle w:val="NoSpacing"/>
              <w:jc w:val="center"/>
              <w:rPr>
                <w:b/>
              </w:rPr>
            </w:pPr>
            <w:proofErr w:type="spellStart"/>
            <w:r w:rsidRPr="00C33941">
              <w:rPr>
                <w:b/>
              </w:rPr>
              <w:t>Utilisation</w:t>
            </w:r>
            <w:proofErr w:type="spellEnd"/>
          </w:p>
        </w:tc>
        <w:tc>
          <w:tcPr>
            <w:tcW w:w="1332" w:type="dxa"/>
          </w:tcPr>
          <w:p w:rsidR="00C33941" w:rsidRPr="00C33941" w:rsidRDefault="00C33941" w:rsidP="007356C6">
            <w:pPr>
              <w:pStyle w:val="NoSpacing"/>
              <w:jc w:val="center"/>
              <w:rPr>
                <w:b/>
              </w:rPr>
            </w:pPr>
            <w:r w:rsidRPr="00C33941">
              <w:rPr>
                <w:b/>
              </w:rPr>
              <w:t>Intended</w:t>
            </w:r>
          </w:p>
          <w:p w:rsidR="00C33941" w:rsidRPr="00C33941" w:rsidRDefault="00C33941" w:rsidP="007356C6">
            <w:pPr>
              <w:pStyle w:val="NoSpacing"/>
              <w:jc w:val="center"/>
              <w:rPr>
                <w:b/>
              </w:rPr>
            </w:pPr>
            <w:r w:rsidRPr="00C33941">
              <w:rPr>
                <w:b/>
              </w:rPr>
              <w:t>Timeframe</w:t>
            </w:r>
          </w:p>
          <w:p w:rsidR="00C33941" w:rsidRPr="00C33941" w:rsidRDefault="00C33941" w:rsidP="007356C6">
            <w:pPr>
              <w:pStyle w:val="NoSpacing"/>
              <w:jc w:val="center"/>
              <w:rPr>
                <w:b/>
              </w:rPr>
            </w:pPr>
            <w:r w:rsidRPr="00C33941">
              <w:rPr>
                <w:b/>
              </w:rPr>
              <w:t>for</w:t>
            </w:r>
          </w:p>
          <w:p w:rsidR="00C33941" w:rsidRPr="00C33941" w:rsidRDefault="00C33941" w:rsidP="007356C6">
            <w:pPr>
              <w:pStyle w:val="NoSpacing"/>
              <w:jc w:val="center"/>
              <w:rPr>
                <w:b/>
              </w:rPr>
            </w:pPr>
            <w:proofErr w:type="spellStart"/>
            <w:r w:rsidRPr="00C33941">
              <w:rPr>
                <w:b/>
              </w:rPr>
              <w:t>Utilisation</w:t>
            </w:r>
            <w:proofErr w:type="spellEnd"/>
          </w:p>
        </w:tc>
        <w:tc>
          <w:tcPr>
            <w:tcW w:w="1530" w:type="dxa"/>
            <w:gridSpan w:val="2"/>
          </w:tcPr>
          <w:p w:rsidR="007356C6" w:rsidRDefault="007356C6" w:rsidP="007356C6">
            <w:pPr>
              <w:pStyle w:val="NoSpacing"/>
              <w:jc w:val="center"/>
              <w:rPr>
                <w:b/>
              </w:rPr>
            </w:pPr>
          </w:p>
          <w:p w:rsidR="007356C6" w:rsidRDefault="007356C6" w:rsidP="007356C6">
            <w:pPr>
              <w:pStyle w:val="NoSpacing"/>
              <w:jc w:val="center"/>
              <w:rPr>
                <w:b/>
              </w:rPr>
            </w:pPr>
          </w:p>
          <w:p w:rsidR="007356C6" w:rsidRDefault="007356C6" w:rsidP="007356C6">
            <w:pPr>
              <w:pStyle w:val="NoSpacing"/>
              <w:jc w:val="center"/>
              <w:rPr>
                <w:b/>
              </w:rPr>
            </w:pPr>
          </w:p>
          <w:p w:rsidR="00C33941" w:rsidRPr="00C33941" w:rsidRDefault="00C33941" w:rsidP="007356C6">
            <w:pPr>
              <w:pStyle w:val="NoSpacing"/>
              <w:jc w:val="center"/>
              <w:rPr>
                <w:b/>
              </w:rPr>
            </w:pPr>
            <w:r w:rsidRPr="00C33941">
              <w:rPr>
                <w:b/>
              </w:rPr>
              <w:t>Deviation</w:t>
            </w:r>
          </w:p>
        </w:tc>
        <w:tc>
          <w:tcPr>
            <w:tcW w:w="1458" w:type="dxa"/>
          </w:tcPr>
          <w:p w:rsidR="007356C6" w:rsidRDefault="007356C6" w:rsidP="007356C6">
            <w:pPr>
              <w:pStyle w:val="NoSpacing"/>
              <w:jc w:val="center"/>
              <w:rPr>
                <w:b/>
              </w:rPr>
            </w:pPr>
          </w:p>
          <w:p w:rsidR="007356C6" w:rsidRDefault="007356C6" w:rsidP="007356C6">
            <w:pPr>
              <w:pStyle w:val="NoSpacing"/>
              <w:jc w:val="center"/>
              <w:rPr>
                <w:b/>
              </w:rPr>
            </w:pPr>
          </w:p>
          <w:p w:rsidR="007356C6" w:rsidRDefault="007356C6" w:rsidP="007356C6">
            <w:pPr>
              <w:pStyle w:val="NoSpacing"/>
              <w:jc w:val="center"/>
              <w:rPr>
                <w:b/>
              </w:rPr>
            </w:pPr>
          </w:p>
          <w:p w:rsidR="00C33941" w:rsidRPr="00C33941" w:rsidRDefault="00C33941" w:rsidP="007356C6">
            <w:pPr>
              <w:pStyle w:val="NoSpacing"/>
              <w:jc w:val="center"/>
              <w:rPr>
                <w:b/>
              </w:rPr>
            </w:pPr>
            <w:r w:rsidRPr="00C33941">
              <w:rPr>
                <w:b/>
              </w:rPr>
              <w:t>Explanations</w:t>
            </w:r>
          </w:p>
        </w:tc>
      </w:tr>
      <w:tr w:rsidR="00C33941" w:rsidRPr="00BB5EBB" w:rsidTr="00505AEA">
        <w:tc>
          <w:tcPr>
            <w:tcW w:w="2196" w:type="dxa"/>
          </w:tcPr>
          <w:p w:rsidR="00C33941" w:rsidRDefault="00C33941" w:rsidP="00375C09">
            <w:pPr>
              <w:autoSpaceDE w:val="0"/>
              <w:autoSpaceDN w:val="0"/>
              <w:adjustRightInd w:val="0"/>
              <w:rPr>
                <w:rFonts w:cstheme="minorHAnsi"/>
                <w:bCs/>
              </w:rPr>
            </w:pPr>
          </w:p>
        </w:tc>
        <w:tc>
          <w:tcPr>
            <w:tcW w:w="1161" w:type="dxa"/>
          </w:tcPr>
          <w:p w:rsidR="00C33941" w:rsidRPr="00BB5EBB" w:rsidRDefault="00C33941" w:rsidP="007356C6">
            <w:pPr>
              <w:pStyle w:val="NoSpacing"/>
              <w:jc w:val="right"/>
            </w:pPr>
            <w:r>
              <w:t>RM’000</w:t>
            </w:r>
          </w:p>
        </w:tc>
        <w:tc>
          <w:tcPr>
            <w:tcW w:w="1161" w:type="dxa"/>
          </w:tcPr>
          <w:p w:rsidR="00C33941" w:rsidRPr="00BB5EBB" w:rsidRDefault="00C33941" w:rsidP="007356C6">
            <w:pPr>
              <w:pStyle w:val="NoSpacing"/>
              <w:jc w:val="right"/>
            </w:pPr>
            <w:r>
              <w:t>RM’000</w:t>
            </w:r>
          </w:p>
        </w:tc>
        <w:tc>
          <w:tcPr>
            <w:tcW w:w="1332" w:type="dxa"/>
          </w:tcPr>
          <w:p w:rsidR="00C33941" w:rsidRPr="00BB5EBB" w:rsidRDefault="00C33941" w:rsidP="00375C09">
            <w:pPr>
              <w:pStyle w:val="NoSpacing"/>
              <w:jc w:val="right"/>
            </w:pPr>
          </w:p>
        </w:tc>
        <w:tc>
          <w:tcPr>
            <w:tcW w:w="939" w:type="dxa"/>
          </w:tcPr>
          <w:p w:rsidR="00C33941" w:rsidRPr="00BB5EBB" w:rsidRDefault="00C33941" w:rsidP="007356C6">
            <w:pPr>
              <w:pStyle w:val="NoSpacing"/>
              <w:jc w:val="right"/>
            </w:pPr>
            <w:r>
              <w:t>RM’000</w:t>
            </w:r>
          </w:p>
        </w:tc>
        <w:tc>
          <w:tcPr>
            <w:tcW w:w="591" w:type="dxa"/>
          </w:tcPr>
          <w:p w:rsidR="00C33941" w:rsidRPr="00BB5EBB" w:rsidRDefault="00C33941" w:rsidP="007356C6">
            <w:pPr>
              <w:pStyle w:val="NoSpacing"/>
              <w:jc w:val="right"/>
            </w:pPr>
            <w:r>
              <w:t>%</w:t>
            </w:r>
          </w:p>
        </w:tc>
        <w:tc>
          <w:tcPr>
            <w:tcW w:w="1458" w:type="dxa"/>
          </w:tcPr>
          <w:p w:rsidR="00C33941" w:rsidRPr="00BB5EBB" w:rsidRDefault="00C33941" w:rsidP="00375C09">
            <w:pPr>
              <w:pStyle w:val="NoSpacing"/>
              <w:jc w:val="right"/>
            </w:pPr>
          </w:p>
        </w:tc>
      </w:tr>
      <w:tr w:rsidR="00C33941" w:rsidRPr="00BB5EBB" w:rsidTr="00505AEA">
        <w:tc>
          <w:tcPr>
            <w:tcW w:w="2196" w:type="dxa"/>
          </w:tcPr>
          <w:p w:rsidR="00C33941" w:rsidRDefault="00C33941" w:rsidP="00375C09">
            <w:pPr>
              <w:autoSpaceDE w:val="0"/>
              <w:autoSpaceDN w:val="0"/>
              <w:adjustRightInd w:val="0"/>
              <w:rPr>
                <w:rFonts w:cstheme="minorHAnsi"/>
                <w:bCs/>
              </w:rPr>
            </w:pPr>
            <w:r>
              <w:rPr>
                <w:rFonts w:cstheme="minorHAnsi"/>
                <w:bCs/>
              </w:rPr>
              <w:t>Working capital</w:t>
            </w:r>
          </w:p>
        </w:tc>
        <w:tc>
          <w:tcPr>
            <w:tcW w:w="1161" w:type="dxa"/>
          </w:tcPr>
          <w:p w:rsidR="00C33941" w:rsidRPr="00BB5EBB" w:rsidRDefault="00C33941" w:rsidP="007356C6">
            <w:pPr>
              <w:pStyle w:val="NoSpacing"/>
              <w:jc w:val="right"/>
            </w:pPr>
            <w:r>
              <w:t>8,700</w:t>
            </w:r>
          </w:p>
        </w:tc>
        <w:tc>
          <w:tcPr>
            <w:tcW w:w="1161" w:type="dxa"/>
          </w:tcPr>
          <w:p w:rsidR="00C33941" w:rsidRPr="00BB5EBB" w:rsidRDefault="00C33941" w:rsidP="007356C6">
            <w:pPr>
              <w:pStyle w:val="NoSpacing"/>
              <w:jc w:val="right"/>
            </w:pPr>
            <w:r>
              <w:t>-</w:t>
            </w:r>
          </w:p>
        </w:tc>
        <w:tc>
          <w:tcPr>
            <w:tcW w:w="1332" w:type="dxa"/>
          </w:tcPr>
          <w:p w:rsidR="00C33941" w:rsidRPr="00BB5EBB" w:rsidRDefault="00C33941" w:rsidP="00375C09">
            <w:pPr>
              <w:pStyle w:val="NoSpacing"/>
              <w:jc w:val="right"/>
            </w:pPr>
            <w:r>
              <w:t>24 months from listing</w:t>
            </w:r>
          </w:p>
        </w:tc>
        <w:tc>
          <w:tcPr>
            <w:tcW w:w="939" w:type="dxa"/>
          </w:tcPr>
          <w:p w:rsidR="00C33941" w:rsidRPr="00BB5EBB" w:rsidRDefault="00C33941" w:rsidP="007356C6">
            <w:pPr>
              <w:pStyle w:val="NoSpacing"/>
              <w:jc w:val="right"/>
            </w:pPr>
            <w:r>
              <w:t>8,700</w:t>
            </w:r>
          </w:p>
        </w:tc>
        <w:tc>
          <w:tcPr>
            <w:tcW w:w="591" w:type="dxa"/>
          </w:tcPr>
          <w:p w:rsidR="00C33941" w:rsidRPr="00BB5EBB" w:rsidRDefault="00C33941" w:rsidP="007356C6">
            <w:pPr>
              <w:pStyle w:val="NoSpacing"/>
              <w:jc w:val="right"/>
            </w:pPr>
            <w:r>
              <w:t>100</w:t>
            </w:r>
          </w:p>
        </w:tc>
        <w:tc>
          <w:tcPr>
            <w:tcW w:w="1458" w:type="dxa"/>
          </w:tcPr>
          <w:p w:rsidR="00C33941" w:rsidRPr="00BB5EBB" w:rsidRDefault="00C33941" w:rsidP="00375C09">
            <w:pPr>
              <w:pStyle w:val="NoSpacing"/>
              <w:jc w:val="right"/>
            </w:pPr>
            <w:r>
              <w:t>*</w:t>
            </w:r>
          </w:p>
        </w:tc>
      </w:tr>
      <w:tr w:rsidR="00C33941" w:rsidTr="00505AEA">
        <w:tc>
          <w:tcPr>
            <w:tcW w:w="2196" w:type="dxa"/>
          </w:tcPr>
          <w:p w:rsidR="00C33941" w:rsidRDefault="00505AEA" w:rsidP="00505AEA">
            <w:pPr>
              <w:autoSpaceDE w:val="0"/>
              <w:autoSpaceDN w:val="0"/>
              <w:adjustRightInd w:val="0"/>
              <w:rPr>
                <w:rFonts w:cstheme="minorHAnsi"/>
                <w:bCs/>
              </w:rPr>
            </w:pPr>
            <w:r>
              <w:rPr>
                <w:rFonts w:cstheme="minorHAnsi"/>
                <w:bCs/>
              </w:rPr>
              <w:t>Listing e</w:t>
            </w:r>
            <w:r w:rsidR="00C33941">
              <w:rPr>
                <w:rFonts w:cstheme="minorHAnsi"/>
                <w:bCs/>
              </w:rPr>
              <w:t>xpenses</w:t>
            </w:r>
          </w:p>
        </w:tc>
        <w:tc>
          <w:tcPr>
            <w:tcW w:w="1161" w:type="dxa"/>
          </w:tcPr>
          <w:p w:rsidR="00C33941" w:rsidRDefault="00C33941" w:rsidP="007356C6">
            <w:pPr>
              <w:autoSpaceDE w:val="0"/>
              <w:autoSpaceDN w:val="0"/>
              <w:adjustRightInd w:val="0"/>
              <w:jc w:val="right"/>
              <w:rPr>
                <w:rFonts w:cstheme="minorHAnsi"/>
                <w:bCs/>
              </w:rPr>
            </w:pPr>
            <w:r>
              <w:rPr>
                <w:rFonts w:cstheme="minorHAnsi"/>
                <w:bCs/>
              </w:rPr>
              <w:t>1,300</w:t>
            </w:r>
          </w:p>
        </w:tc>
        <w:tc>
          <w:tcPr>
            <w:tcW w:w="1161" w:type="dxa"/>
          </w:tcPr>
          <w:p w:rsidR="00C33941" w:rsidRDefault="00C33941" w:rsidP="007356C6">
            <w:pPr>
              <w:autoSpaceDE w:val="0"/>
              <w:autoSpaceDN w:val="0"/>
              <w:adjustRightInd w:val="0"/>
              <w:jc w:val="right"/>
              <w:rPr>
                <w:rFonts w:cstheme="minorHAnsi"/>
                <w:bCs/>
              </w:rPr>
            </w:pPr>
            <w:r>
              <w:rPr>
                <w:rFonts w:cstheme="minorHAnsi"/>
                <w:bCs/>
              </w:rPr>
              <w:t>-</w:t>
            </w:r>
          </w:p>
        </w:tc>
        <w:tc>
          <w:tcPr>
            <w:tcW w:w="1332" w:type="dxa"/>
          </w:tcPr>
          <w:p w:rsidR="00C33941" w:rsidRDefault="00C33941" w:rsidP="00375C09">
            <w:pPr>
              <w:autoSpaceDE w:val="0"/>
              <w:autoSpaceDN w:val="0"/>
              <w:adjustRightInd w:val="0"/>
              <w:jc w:val="right"/>
              <w:rPr>
                <w:rFonts w:cstheme="minorHAnsi"/>
                <w:bCs/>
              </w:rPr>
            </w:pPr>
            <w:r>
              <w:rPr>
                <w:rFonts w:cstheme="minorHAnsi"/>
                <w:bCs/>
              </w:rPr>
              <w:t>1 month from listing</w:t>
            </w:r>
          </w:p>
        </w:tc>
        <w:tc>
          <w:tcPr>
            <w:tcW w:w="939" w:type="dxa"/>
          </w:tcPr>
          <w:p w:rsidR="00C33941" w:rsidRDefault="00C33941" w:rsidP="007356C6">
            <w:pPr>
              <w:autoSpaceDE w:val="0"/>
              <w:autoSpaceDN w:val="0"/>
              <w:adjustRightInd w:val="0"/>
              <w:jc w:val="right"/>
              <w:rPr>
                <w:rFonts w:cstheme="minorHAnsi"/>
                <w:bCs/>
              </w:rPr>
            </w:pPr>
            <w:r>
              <w:rPr>
                <w:rFonts w:cstheme="minorHAnsi"/>
                <w:bCs/>
              </w:rPr>
              <w:t>1,300</w:t>
            </w:r>
          </w:p>
        </w:tc>
        <w:tc>
          <w:tcPr>
            <w:tcW w:w="591" w:type="dxa"/>
          </w:tcPr>
          <w:p w:rsidR="00C33941" w:rsidRDefault="00C33941" w:rsidP="007356C6">
            <w:pPr>
              <w:autoSpaceDE w:val="0"/>
              <w:autoSpaceDN w:val="0"/>
              <w:adjustRightInd w:val="0"/>
              <w:jc w:val="right"/>
              <w:rPr>
                <w:rFonts w:cstheme="minorHAnsi"/>
                <w:bCs/>
              </w:rPr>
            </w:pPr>
            <w:r>
              <w:rPr>
                <w:rFonts w:cstheme="minorHAnsi"/>
                <w:bCs/>
              </w:rPr>
              <w:t>100</w:t>
            </w:r>
          </w:p>
        </w:tc>
        <w:tc>
          <w:tcPr>
            <w:tcW w:w="1458" w:type="dxa"/>
          </w:tcPr>
          <w:p w:rsidR="00C33941" w:rsidRDefault="00C33941" w:rsidP="00375C09">
            <w:pPr>
              <w:autoSpaceDE w:val="0"/>
              <w:autoSpaceDN w:val="0"/>
              <w:adjustRightInd w:val="0"/>
              <w:jc w:val="right"/>
              <w:rPr>
                <w:rFonts w:cstheme="minorHAnsi"/>
                <w:bCs/>
              </w:rPr>
            </w:pPr>
            <w:r>
              <w:rPr>
                <w:rFonts w:cstheme="minorHAnsi"/>
                <w:bCs/>
              </w:rPr>
              <w:t>*</w:t>
            </w:r>
          </w:p>
        </w:tc>
      </w:tr>
      <w:tr w:rsidR="00C33941" w:rsidRPr="007356C6" w:rsidTr="00505AEA">
        <w:tc>
          <w:tcPr>
            <w:tcW w:w="2196" w:type="dxa"/>
          </w:tcPr>
          <w:p w:rsidR="00C33941" w:rsidRPr="007356C6" w:rsidRDefault="007356C6" w:rsidP="00375C09">
            <w:pPr>
              <w:autoSpaceDE w:val="0"/>
              <w:autoSpaceDN w:val="0"/>
              <w:adjustRightInd w:val="0"/>
              <w:rPr>
                <w:rFonts w:cstheme="minorHAnsi"/>
                <w:b/>
                <w:bCs/>
              </w:rPr>
            </w:pPr>
            <w:r w:rsidRPr="007356C6">
              <w:rPr>
                <w:rFonts w:cstheme="minorHAnsi"/>
                <w:b/>
                <w:bCs/>
              </w:rPr>
              <w:t>Total</w:t>
            </w:r>
          </w:p>
        </w:tc>
        <w:tc>
          <w:tcPr>
            <w:tcW w:w="1161" w:type="dxa"/>
          </w:tcPr>
          <w:p w:rsidR="00C33941" w:rsidRPr="007356C6" w:rsidRDefault="00C33941" w:rsidP="007356C6">
            <w:pPr>
              <w:autoSpaceDE w:val="0"/>
              <w:autoSpaceDN w:val="0"/>
              <w:adjustRightInd w:val="0"/>
              <w:jc w:val="right"/>
              <w:rPr>
                <w:rFonts w:cstheme="minorHAnsi"/>
                <w:b/>
                <w:bCs/>
              </w:rPr>
            </w:pPr>
            <w:r w:rsidRPr="007356C6">
              <w:rPr>
                <w:rFonts w:cstheme="minorHAnsi"/>
                <w:b/>
                <w:bCs/>
              </w:rPr>
              <w:t>10,000</w:t>
            </w:r>
          </w:p>
        </w:tc>
        <w:tc>
          <w:tcPr>
            <w:tcW w:w="1161" w:type="dxa"/>
          </w:tcPr>
          <w:p w:rsidR="00C33941" w:rsidRPr="007356C6" w:rsidRDefault="00C33941" w:rsidP="007356C6">
            <w:pPr>
              <w:autoSpaceDE w:val="0"/>
              <w:autoSpaceDN w:val="0"/>
              <w:adjustRightInd w:val="0"/>
              <w:jc w:val="right"/>
              <w:rPr>
                <w:rFonts w:cstheme="minorHAnsi"/>
                <w:b/>
                <w:bCs/>
              </w:rPr>
            </w:pPr>
          </w:p>
        </w:tc>
        <w:tc>
          <w:tcPr>
            <w:tcW w:w="1332" w:type="dxa"/>
          </w:tcPr>
          <w:p w:rsidR="00C33941" w:rsidRPr="007356C6" w:rsidRDefault="00C33941" w:rsidP="00375C09">
            <w:pPr>
              <w:autoSpaceDE w:val="0"/>
              <w:autoSpaceDN w:val="0"/>
              <w:adjustRightInd w:val="0"/>
              <w:jc w:val="right"/>
              <w:rPr>
                <w:rFonts w:cstheme="minorHAnsi"/>
                <w:b/>
                <w:bCs/>
              </w:rPr>
            </w:pPr>
          </w:p>
        </w:tc>
        <w:tc>
          <w:tcPr>
            <w:tcW w:w="939" w:type="dxa"/>
          </w:tcPr>
          <w:p w:rsidR="00C33941" w:rsidRPr="007356C6" w:rsidRDefault="007356C6" w:rsidP="007356C6">
            <w:pPr>
              <w:autoSpaceDE w:val="0"/>
              <w:autoSpaceDN w:val="0"/>
              <w:adjustRightInd w:val="0"/>
              <w:jc w:val="right"/>
              <w:rPr>
                <w:rFonts w:cstheme="minorHAnsi"/>
                <w:b/>
                <w:bCs/>
              </w:rPr>
            </w:pPr>
            <w:r w:rsidRPr="007356C6">
              <w:rPr>
                <w:rFonts w:cstheme="minorHAnsi"/>
                <w:b/>
                <w:bCs/>
              </w:rPr>
              <w:t>10,000</w:t>
            </w:r>
          </w:p>
        </w:tc>
        <w:tc>
          <w:tcPr>
            <w:tcW w:w="591" w:type="dxa"/>
          </w:tcPr>
          <w:p w:rsidR="00C33941" w:rsidRPr="007356C6" w:rsidRDefault="007356C6" w:rsidP="007356C6">
            <w:pPr>
              <w:autoSpaceDE w:val="0"/>
              <w:autoSpaceDN w:val="0"/>
              <w:adjustRightInd w:val="0"/>
              <w:jc w:val="right"/>
              <w:rPr>
                <w:rFonts w:cstheme="minorHAnsi"/>
                <w:b/>
                <w:bCs/>
              </w:rPr>
            </w:pPr>
            <w:r w:rsidRPr="007356C6">
              <w:rPr>
                <w:rFonts w:cstheme="minorHAnsi"/>
                <w:b/>
                <w:bCs/>
              </w:rPr>
              <w:t>100</w:t>
            </w:r>
          </w:p>
        </w:tc>
        <w:tc>
          <w:tcPr>
            <w:tcW w:w="1458" w:type="dxa"/>
          </w:tcPr>
          <w:p w:rsidR="00C33941" w:rsidRPr="007356C6" w:rsidRDefault="00C33941" w:rsidP="00375C09">
            <w:pPr>
              <w:autoSpaceDE w:val="0"/>
              <w:autoSpaceDN w:val="0"/>
              <w:adjustRightInd w:val="0"/>
              <w:jc w:val="right"/>
              <w:rPr>
                <w:rFonts w:cstheme="minorHAnsi"/>
                <w:b/>
                <w:bCs/>
              </w:rPr>
            </w:pPr>
          </w:p>
        </w:tc>
      </w:tr>
    </w:tbl>
    <w:p w:rsidR="002F450B" w:rsidRDefault="002F450B" w:rsidP="00505AEA">
      <w:pPr>
        <w:pBdr>
          <w:bottom w:val="single" w:sz="6" w:space="1" w:color="auto"/>
        </w:pBdr>
        <w:rPr>
          <w:rFonts w:ascii="Arial" w:hAnsi="Arial" w:cs="Arial"/>
          <w:b/>
          <w:sz w:val="24"/>
          <w:szCs w:val="24"/>
        </w:rPr>
      </w:pPr>
    </w:p>
    <w:p w:rsidR="00505AEA" w:rsidRPr="002F1C6E" w:rsidRDefault="00505AEA" w:rsidP="00505AEA">
      <w:pPr>
        <w:pBdr>
          <w:bottom w:val="single" w:sz="6" w:space="1" w:color="auto"/>
        </w:pBdr>
        <w:rPr>
          <w:rFonts w:ascii="Arial" w:hAnsi="Arial" w:cs="Arial"/>
          <w:b/>
          <w:sz w:val="20"/>
          <w:szCs w:val="20"/>
        </w:rPr>
      </w:pPr>
      <w:r w:rsidRPr="002F1C6E">
        <w:rPr>
          <w:rFonts w:ascii="Arial" w:hAnsi="Arial" w:cs="Arial"/>
          <w:b/>
          <w:sz w:val="24"/>
          <w:szCs w:val="24"/>
        </w:rPr>
        <w:t xml:space="preserve">PESONA METRO HOLDINGS BERHAD </w:t>
      </w:r>
      <w:r w:rsidRPr="002F1C6E">
        <w:rPr>
          <w:rFonts w:ascii="Arial" w:hAnsi="Arial" w:cs="Arial"/>
          <w:b/>
          <w:sz w:val="20"/>
          <w:szCs w:val="20"/>
        </w:rPr>
        <w:t>(Co. No. 957876-T)</w:t>
      </w:r>
    </w:p>
    <w:p w:rsidR="00505AEA" w:rsidRDefault="00505AEA" w:rsidP="00505AEA">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505AEA" w:rsidRDefault="00505AEA" w:rsidP="00505AEA">
      <w:pPr>
        <w:autoSpaceDE w:val="0"/>
        <w:autoSpaceDN w:val="0"/>
        <w:adjustRightInd w:val="0"/>
        <w:spacing w:after="0" w:line="240" w:lineRule="auto"/>
        <w:ind w:left="720"/>
        <w:jc w:val="both"/>
        <w:rPr>
          <w:rFonts w:cstheme="minorHAnsi"/>
          <w:bCs/>
        </w:rPr>
      </w:pPr>
    </w:p>
    <w:p w:rsidR="00505AEA" w:rsidRPr="00627F38" w:rsidRDefault="00505AEA" w:rsidP="00505AEA">
      <w:pPr>
        <w:autoSpaceDE w:val="0"/>
        <w:autoSpaceDN w:val="0"/>
        <w:adjustRightInd w:val="0"/>
        <w:spacing w:after="0" w:line="240" w:lineRule="auto"/>
        <w:rPr>
          <w:rFonts w:cstheme="minorHAnsi"/>
          <w:b/>
          <w:bCs/>
        </w:rPr>
      </w:pPr>
      <w:r w:rsidRPr="00627F38">
        <w:rPr>
          <w:rFonts w:cstheme="minorHAnsi"/>
          <w:b/>
          <w:bCs/>
        </w:rPr>
        <w:t>B7.</w:t>
      </w:r>
      <w:r w:rsidRPr="00627F38">
        <w:rPr>
          <w:rFonts w:cstheme="minorHAnsi"/>
          <w:b/>
          <w:bCs/>
        </w:rPr>
        <w:tab/>
        <w:t>Status of Corporate Proposal</w:t>
      </w:r>
      <w:r>
        <w:rPr>
          <w:rFonts w:cstheme="minorHAnsi"/>
          <w:b/>
          <w:bCs/>
        </w:rPr>
        <w:t xml:space="preserve"> (Continued)</w:t>
      </w:r>
    </w:p>
    <w:p w:rsidR="00505AEA" w:rsidRDefault="00505AEA" w:rsidP="00505AEA">
      <w:pPr>
        <w:autoSpaceDE w:val="0"/>
        <w:autoSpaceDN w:val="0"/>
        <w:adjustRightInd w:val="0"/>
        <w:spacing w:after="0" w:line="240" w:lineRule="auto"/>
        <w:rPr>
          <w:rFonts w:cstheme="minorHAnsi"/>
          <w:b/>
          <w:bCs/>
        </w:rPr>
      </w:pPr>
    </w:p>
    <w:p w:rsidR="00505AEA" w:rsidRPr="00505AEA" w:rsidRDefault="00505AEA" w:rsidP="00505AEA">
      <w:pPr>
        <w:pStyle w:val="ListParagraph"/>
        <w:numPr>
          <w:ilvl w:val="0"/>
          <w:numId w:val="16"/>
        </w:numPr>
        <w:autoSpaceDE w:val="0"/>
        <w:autoSpaceDN w:val="0"/>
        <w:adjustRightInd w:val="0"/>
        <w:spacing w:after="0" w:line="240" w:lineRule="auto"/>
        <w:rPr>
          <w:rFonts w:cstheme="minorHAnsi"/>
          <w:b/>
          <w:bCs/>
        </w:rPr>
      </w:pPr>
      <w:proofErr w:type="spellStart"/>
      <w:r w:rsidRPr="00505AEA">
        <w:rPr>
          <w:rFonts w:cstheme="minorHAnsi"/>
          <w:b/>
          <w:bCs/>
        </w:rPr>
        <w:t>Utilisation</w:t>
      </w:r>
      <w:proofErr w:type="spellEnd"/>
      <w:r w:rsidRPr="00505AEA">
        <w:rPr>
          <w:rFonts w:cstheme="minorHAnsi"/>
          <w:b/>
          <w:bCs/>
        </w:rPr>
        <w:t xml:space="preserve"> of Proceeds</w:t>
      </w:r>
      <w:r>
        <w:rPr>
          <w:rFonts w:cstheme="minorHAnsi"/>
          <w:b/>
          <w:bCs/>
        </w:rPr>
        <w:t xml:space="preserve"> (Continued)</w:t>
      </w:r>
    </w:p>
    <w:p w:rsidR="00505AEA" w:rsidRDefault="00505AEA" w:rsidP="00505AEA">
      <w:pPr>
        <w:autoSpaceDE w:val="0"/>
        <w:autoSpaceDN w:val="0"/>
        <w:adjustRightInd w:val="0"/>
        <w:spacing w:after="0" w:line="240" w:lineRule="auto"/>
        <w:ind w:left="720"/>
        <w:jc w:val="both"/>
        <w:rPr>
          <w:rFonts w:cstheme="minorHAnsi"/>
          <w:bCs/>
        </w:rPr>
      </w:pPr>
    </w:p>
    <w:p w:rsidR="00331815" w:rsidRPr="00C33941" w:rsidRDefault="00C33941" w:rsidP="00505AEA">
      <w:pPr>
        <w:autoSpaceDE w:val="0"/>
        <w:autoSpaceDN w:val="0"/>
        <w:adjustRightInd w:val="0"/>
        <w:spacing w:after="0" w:line="240" w:lineRule="auto"/>
        <w:ind w:left="720"/>
        <w:jc w:val="both"/>
        <w:rPr>
          <w:rFonts w:cstheme="minorHAnsi"/>
          <w:bCs/>
        </w:rPr>
      </w:pPr>
      <w:r>
        <w:rPr>
          <w:rFonts w:cstheme="minorHAnsi"/>
          <w:bCs/>
        </w:rPr>
        <w:t>* The proceeds</w:t>
      </w:r>
      <w:r w:rsidR="00505AEA">
        <w:rPr>
          <w:rFonts w:cstheme="minorHAnsi"/>
          <w:bCs/>
        </w:rPr>
        <w:t xml:space="preserve"> </w:t>
      </w:r>
      <w:r>
        <w:rPr>
          <w:rFonts w:cstheme="minorHAnsi"/>
          <w:bCs/>
        </w:rPr>
        <w:t>from the issuance of shares</w:t>
      </w:r>
      <w:r w:rsidR="007356C6">
        <w:rPr>
          <w:rFonts w:cstheme="minorHAnsi"/>
          <w:bCs/>
        </w:rPr>
        <w:t xml:space="preserve"> we</w:t>
      </w:r>
      <w:r w:rsidR="00505AEA">
        <w:rPr>
          <w:rFonts w:cstheme="minorHAnsi"/>
          <w:bCs/>
        </w:rPr>
        <w:t>re</w:t>
      </w:r>
      <w:r>
        <w:rPr>
          <w:rFonts w:cstheme="minorHAnsi"/>
          <w:bCs/>
        </w:rPr>
        <w:t xml:space="preserve"> received subsequent to the listing on 10 October 2012.</w:t>
      </w:r>
    </w:p>
    <w:p w:rsidR="00331815" w:rsidRPr="00331815" w:rsidRDefault="00331815" w:rsidP="00331815">
      <w:pPr>
        <w:pStyle w:val="ListParagraph"/>
        <w:autoSpaceDE w:val="0"/>
        <w:autoSpaceDN w:val="0"/>
        <w:adjustRightInd w:val="0"/>
        <w:spacing w:after="0" w:line="240" w:lineRule="auto"/>
        <w:ind w:left="1440"/>
        <w:rPr>
          <w:rFonts w:cstheme="minorHAnsi"/>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B8.</w:t>
      </w:r>
      <w:r w:rsidRPr="00627F38">
        <w:rPr>
          <w:rFonts w:cstheme="minorHAnsi"/>
          <w:b/>
          <w:bCs/>
        </w:rPr>
        <w:tab/>
        <w:t>Group's Borrowings and Debt Securities</w:t>
      </w:r>
    </w:p>
    <w:p w:rsidR="00D208FE" w:rsidRPr="00627F38" w:rsidRDefault="00D208FE" w:rsidP="00D208FE">
      <w:pPr>
        <w:autoSpaceDE w:val="0"/>
        <w:autoSpaceDN w:val="0"/>
        <w:adjustRightInd w:val="0"/>
        <w:spacing w:after="0" w:line="240" w:lineRule="auto"/>
        <w:rPr>
          <w:rFonts w:cstheme="minorHAnsi"/>
          <w:b/>
          <w:bCs/>
        </w:rPr>
      </w:pPr>
    </w:p>
    <w:p w:rsidR="00436AB7" w:rsidRDefault="00436AB7" w:rsidP="00436AB7">
      <w:pPr>
        <w:autoSpaceDE w:val="0"/>
        <w:autoSpaceDN w:val="0"/>
        <w:adjustRightInd w:val="0"/>
        <w:spacing w:after="0" w:line="240" w:lineRule="auto"/>
        <w:ind w:firstLine="720"/>
        <w:rPr>
          <w:rFonts w:cstheme="minorHAnsi"/>
          <w:bCs/>
        </w:rPr>
      </w:pPr>
      <w:r>
        <w:rPr>
          <w:rFonts w:cstheme="minorHAnsi"/>
          <w:bCs/>
        </w:rPr>
        <w:t>The Group’s borrowings as at 30 September 2012 were as follows:-</w:t>
      </w:r>
    </w:p>
    <w:p w:rsidR="00436AB7" w:rsidRDefault="00436AB7" w:rsidP="00436AB7">
      <w:pPr>
        <w:autoSpaceDE w:val="0"/>
        <w:autoSpaceDN w:val="0"/>
        <w:adjustRightInd w:val="0"/>
        <w:spacing w:after="0" w:line="240" w:lineRule="auto"/>
        <w:rPr>
          <w:rFonts w:cstheme="minorHAnsi"/>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gridCol w:w="1108"/>
      </w:tblGrid>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As at</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30.9.2012</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Pr>
          <w:p w:rsidR="00436AB7" w:rsidRDefault="00436AB7" w:rsidP="00375C09">
            <w:pPr>
              <w:autoSpaceDE w:val="0"/>
              <w:autoSpaceDN w:val="0"/>
              <w:adjustRightInd w:val="0"/>
              <w:jc w:val="right"/>
              <w:rPr>
                <w:rFonts w:cstheme="minorHAnsi"/>
                <w:bCs/>
              </w:rPr>
            </w:pPr>
            <w:r>
              <w:rPr>
                <w:rFonts w:cstheme="minorHAnsi"/>
                <w:bCs/>
              </w:rPr>
              <w:t>RM’000</w:t>
            </w:r>
          </w:p>
        </w:tc>
      </w:tr>
      <w:tr w:rsidR="00436AB7" w:rsidTr="00436AB7">
        <w:tc>
          <w:tcPr>
            <w:tcW w:w="7730" w:type="dxa"/>
          </w:tcPr>
          <w:p w:rsidR="00436AB7" w:rsidRPr="00436AB7" w:rsidRDefault="00436AB7" w:rsidP="00436AB7">
            <w:pPr>
              <w:autoSpaceDE w:val="0"/>
              <w:autoSpaceDN w:val="0"/>
              <w:adjustRightInd w:val="0"/>
              <w:rPr>
                <w:rFonts w:cstheme="minorHAnsi"/>
                <w:b/>
                <w:bCs/>
              </w:rPr>
            </w:pPr>
            <w:r w:rsidRPr="00436AB7">
              <w:rPr>
                <w:rFonts w:cstheme="minorHAnsi"/>
                <w:b/>
                <w:bCs/>
              </w:rPr>
              <w:t>Long term borrowings</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Default="00436AB7" w:rsidP="00436AB7">
            <w:pPr>
              <w:autoSpaceDE w:val="0"/>
              <w:autoSpaceDN w:val="0"/>
              <w:adjustRightInd w:val="0"/>
              <w:rPr>
                <w:rFonts w:cstheme="minorHAnsi"/>
                <w:bCs/>
              </w:rPr>
            </w:pPr>
            <w:r>
              <w:rPr>
                <w:rFonts w:cstheme="minorHAnsi"/>
                <w:bCs/>
              </w:rPr>
              <w:t>Secured:</w:t>
            </w:r>
          </w:p>
          <w:p w:rsidR="00436AB7" w:rsidRPr="00436AB7" w:rsidRDefault="00436AB7" w:rsidP="00436AB7">
            <w:pPr>
              <w:pStyle w:val="ListParagraph"/>
              <w:numPr>
                <w:ilvl w:val="0"/>
                <w:numId w:val="13"/>
              </w:numPr>
              <w:autoSpaceDE w:val="0"/>
              <w:autoSpaceDN w:val="0"/>
              <w:adjustRightInd w:val="0"/>
              <w:rPr>
                <w:rFonts w:cstheme="minorHAnsi"/>
                <w:bCs/>
              </w:rPr>
            </w:pPr>
            <w:r>
              <w:rPr>
                <w:rFonts w:cstheme="minorHAnsi"/>
                <w:bCs/>
              </w:rPr>
              <w:t>Term loans</w:t>
            </w:r>
          </w:p>
        </w:tc>
        <w:tc>
          <w:tcPr>
            <w:tcW w:w="1108" w:type="dxa"/>
            <w:tcBorders>
              <w:bottom w:val="single" w:sz="4" w:space="0" w:color="auto"/>
            </w:tcBorders>
          </w:tcPr>
          <w:p w:rsidR="00436AB7" w:rsidRDefault="00436AB7" w:rsidP="00375C09">
            <w:pPr>
              <w:autoSpaceDE w:val="0"/>
              <w:autoSpaceDN w:val="0"/>
              <w:adjustRightInd w:val="0"/>
              <w:jc w:val="right"/>
              <w:rPr>
                <w:rFonts w:cstheme="minorHAnsi"/>
                <w:bCs/>
              </w:rPr>
            </w:pPr>
          </w:p>
          <w:p w:rsidR="00436AB7" w:rsidRDefault="00436AB7" w:rsidP="00375C09">
            <w:pPr>
              <w:autoSpaceDE w:val="0"/>
              <w:autoSpaceDN w:val="0"/>
              <w:adjustRightInd w:val="0"/>
              <w:jc w:val="right"/>
              <w:rPr>
                <w:rFonts w:cstheme="minorHAnsi"/>
                <w:bCs/>
              </w:rPr>
            </w:pPr>
            <w:r>
              <w:rPr>
                <w:rFonts w:cstheme="minorHAnsi"/>
                <w:bCs/>
              </w:rPr>
              <w:t>106</w:t>
            </w:r>
          </w:p>
        </w:tc>
      </w:tr>
      <w:tr w:rsidR="00436AB7" w:rsidTr="00436AB7">
        <w:tc>
          <w:tcPr>
            <w:tcW w:w="7730" w:type="dxa"/>
          </w:tcPr>
          <w:p w:rsidR="00436AB7" w:rsidRDefault="00436AB7" w:rsidP="00436AB7">
            <w:pPr>
              <w:autoSpaceDE w:val="0"/>
              <w:autoSpaceDN w:val="0"/>
              <w:adjustRightInd w:val="0"/>
              <w:rPr>
                <w:rFonts w:cstheme="minorHAnsi"/>
                <w:bCs/>
              </w:rPr>
            </w:pPr>
          </w:p>
        </w:tc>
        <w:tc>
          <w:tcPr>
            <w:tcW w:w="1108" w:type="dxa"/>
            <w:tcBorders>
              <w:top w:val="single" w:sz="4" w:space="0" w:color="auto"/>
            </w:tcBorders>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Pr="00436AB7" w:rsidRDefault="00436AB7" w:rsidP="00436AB7">
            <w:pPr>
              <w:autoSpaceDE w:val="0"/>
              <w:autoSpaceDN w:val="0"/>
              <w:adjustRightInd w:val="0"/>
              <w:rPr>
                <w:rFonts w:cstheme="minorHAnsi"/>
                <w:b/>
                <w:bCs/>
              </w:rPr>
            </w:pPr>
            <w:r w:rsidRPr="00436AB7">
              <w:rPr>
                <w:rFonts w:cstheme="minorHAnsi"/>
                <w:b/>
                <w:bCs/>
              </w:rPr>
              <w:t>Short term borrowings</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Default="00436AB7" w:rsidP="00375C09">
            <w:pPr>
              <w:autoSpaceDE w:val="0"/>
              <w:autoSpaceDN w:val="0"/>
              <w:adjustRightInd w:val="0"/>
              <w:rPr>
                <w:rFonts w:cstheme="minorHAnsi"/>
                <w:bCs/>
              </w:rPr>
            </w:pPr>
            <w:r>
              <w:rPr>
                <w:rFonts w:cstheme="minorHAnsi"/>
                <w:bCs/>
              </w:rPr>
              <w:t>Secured:</w:t>
            </w:r>
          </w:p>
        </w:tc>
        <w:tc>
          <w:tcPr>
            <w:tcW w:w="1108" w:type="dxa"/>
          </w:tcPr>
          <w:p w:rsidR="00436AB7" w:rsidRDefault="00436AB7" w:rsidP="00375C09">
            <w:pPr>
              <w:autoSpaceDE w:val="0"/>
              <w:autoSpaceDN w:val="0"/>
              <w:adjustRightInd w:val="0"/>
              <w:jc w:val="right"/>
              <w:rPr>
                <w:rFonts w:cstheme="minorHAnsi"/>
                <w:bCs/>
              </w:rPr>
            </w:pPr>
          </w:p>
        </w:tc>
      </w:tr>
      <w:tr w:rsidR="00436AB7" w:rsidTr="00436AB7">
        <w:tc>
          <w:tcPr>
            <w:tcW w:w="7730" w:type="dxa"/>
          </w:tcPr>
          <w:p w:rsidR="00436AB7" w:rsidRPr="00436AB7" w:rsidRDefault="00436AB7" w:rsidP="00436AB7">
            <w:pPr>
              <w:pStyle w:val="ListParagraph"/>
              <w:numPr>
                <w:ilvl w:val="0"/>
                <w:numId w:val="13"/>
              </w:numPr>
              <w:autoSpaceDE w:val="0"/>
              <w:autoSpaceDN w:val="0"/>
              <w:adjustRightInd w:val="0"/>
              <w:rPr>
                <w:rFonts w:cstheme="minorHAnsi"/>
                <w:bCs/>
              </w:rPr>
            </w:pPr>
            <w:r w:rsidRPr="00436AB7">
              <w:rPr>
                <w:rFonts w:cstheme="minorHAnsi"/>
                <w:bCs/>
              </w:rPr>
              <w:t>Export credit refinancing</w:t>
            </w:r>
          </w:p>
        </w:tc>
        <w:tc>
          <w:tcPr>
            <w:tcW w:w="1108" w:type="dxa"/>
          </w:tcPr>
          <w:p w:rsidR="00436AB7" w:rsidRDefault="00436AB7" w:rsidP="003B1884">
            <w:pPr>
              <w:autoSpaceDE w:val="0"/>
              <w:autoSpaceDN w:val="0"/>
              <w:adjustRightInd w:val="0"/>
              <w:jc w:val="right"/>
              <w:rPr>
                <w:rFonts w:cstheme="minorHAnsi"/>
                <w:bCs/>
              </w:rPr>
            </w:pPr>
            <w:r>
              <w:rPr>
                <w:rFonts w:cstheme="minorHAnsi"/>
                <w:bCs/>
              </w:rPr>
              <w:t>1,39</w:t>
            </w:r>
            <w:r w:rsidR="003B1884">
              <w:rPr>
                <w:rFonts w:cstheme="minorHAnsi"/>
                <w:bCs/>
              </w:rPr>
              <w:t>2</w:t>
            </w:r>
          </w:p>
        </w:tc>
      </w:tr>
      <w:tr w:rsidR="00436AB7" w:rsidTr="00436AB7">
        <w:tc>
          <w:tcPr>
            <w:tcW w:w="7730" w:type="dxa"/>
          </w:tcPr>
          <w:p w:rsidR="00436AB7" w:rsidRPr="00436AB7" w:rsidRDefault="00436AB7" w:rsidP="00436AB7">
            <w:pPr>
              <w:pStyle w:val="ListParagraph"/>
              <w:numPr>
                <w:ilvl w:val="0"/>
                <w:numId w:val="13"/>
              </w:numPr>
              <w:autoSpaceDE w:val="0"/>
              <w:autoSpaceDN w:val="0"/>
              <w:adjustRightInd w:val="0"/>
              <w:rPr>
                <w:rFonts w:cstheme="minorHAnsi"/>
                <w:bCs/>
              </w:rPr>
            </w:pPr>
            <w:r>
              <w:rPr>
                <w:rFonts w:cstheme="minorHAnsi"/>
                <w:bCs/>
              </w:rPr>
              <w:t>Term loans</w:t>
            </w:r>
          </w:p>
        </w:tc>
        <w:tc>
          <w:tcPr>
            <w:tcW w:w="1108" w:type="dxa"/>
            <w:tcBorders>
              <w:bottom w:val="single" w:sz="4" w:space="0" w:color="auto"/>
            </w:tcBorders>
          </w:tcPr>
          <w:p w:rsidR="00436AB7" w:rsidRDefault="00436AB7" w:rsidP="00375C09">
            <w:pPr>
              <w:autoSpaceDE w:val="0"/>
              <w:autoSpaceDN w:val="0"/>
              <w:adjustRightInd w:val="0"/>
              <w:jc w:val="right"/>
              <w:rPr>
                <w:rFonts w:cstheme="minorHAnsi"/>
                <w:bCs/>
              </w:rPr>
            </w:pPr>
            <w:r>
              <w:rPr>
                <w:rFonts w:cstheme="minorHAnsi"/>
                <w:bCs/>
              </w:rPr>
              <w:t>75</w:t>
            </w:r>
          </w:p>
        </w:tc>
      </w:tr>
      <w:tr w:rsidR="00436AB7" w:rsidTr="00436AB7">
        <w:tc>
          <w:tcPr>
            <w:tcW w:w="7730" w:type="dxa"/>
          </w:tcPr>
          <w:p w:rsidR="00436AB7" w:rsidRDefault="00436AB7" w:rsidP="00375C09">
            <w:pPr>
              <w:autoSpaceDE w:val="0"/>
              <w:autoSpaceDN w:val="0"/>
              <w:adjustRightInd w:val="0"/>
              <w:rPr>
                <w:rFonts w:cstheme="minorHAnsi"/>
                <w:bCs/>
              </w:rPr>
            </w:pPr>
          </w:p>
        </w:tc>
        <w:tc>
          <w:tcPr>
            <w:tcW w:w="1108" w:type="dxa"/>
            <w:tcBorders>
              <w:top w:val="single" w:sz="4" w:space="0" w:color="auto"/>
              <w:bottom w:val="single" w:sz="4" w:space="0" w:color="auto"/>
            </w:tcBorders>
          </w:tcPr>
          <w:p w:rsidR="00436AB7" w:rsidRDefault="003B1884" w:rsidP="00375C09">
            <w:pPr>
              <w:autoSpaceDE w:val="0"/>
              <w:autoSpaceDN w:val="0"/>
              <w:adjustRightInd w:val="0"/>
              <w:jc w:val="right"/>
              <w:rPr>
                <w:rFonts w:cstheme="minorHAnsi"/>
                <w:bCs/>
              </w:rPr>
            </w:pPr>
            <w:r>
              <w:rPr>
                <w:rFonts w:cstheme="minorHAnsi"/>
                <w:bCs/>
              </w:rPr>
              <w:t>1,467</w:t>
            </w:r>
          </w:p>
        </w:tc>
      </w:tr>
    </w:tbl>
    <w:p w:rsidR="00D208FE" w:rsidRPr="00627F38" w:rsidRDefault="00D208FE" w:rsidP="00D208FE">
      <w:pPr>
        <w:autoSpaceDE w:val="0"/>
        <w:autoSpaceDN w:val="0"/>
        <w:adjustRightInd w:val="0"/>
        <w:spacing w:after="0" w:line="240" w:lineRule="auto"/>
        <w:rPr>
          <w:rFonts w:cstheme="minorHAnsi"/>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B9.</w:t>
      </w:r>
      <w:r w:rsidRPr="00627F38">
        <w:rPr>
          <w:rFonts w:cstheme="minorHAnsi"/>
          <w:b/>
          <w:bCs/>
        </w:rPr>
        <w:tab/>
        <w:t>Off Balance Sheet Financial Instruments</w:t>
      </w:r>
    </w:p>
    <w:p w:rsidR="00D208FE" w:rsidRDefault="00D208FE" w:rsidP="00D208FE">
      <w:pPr>
        <w:autoSpaceDE w:val="0"/>
        <w:autoSpaceDN w:val="0"/>
        <w:adjustRightInd w:val="0"/>
        <w:spacing w:after="0" w:line="240" w:lineRule="auto"/>
        <w:rPr>
          <w:rFonts w:cstheme="minorHAnsi"/>
          <w:b/>
          <w:bCs/>
        </w:rPr>
      </w:pPr>
    </w:p>
    <w:p w:rsidR="005204BC" w:rsidRPr="005204BC" w:rsidRDefault="005204BC" w:rsidP="005204BC">
      <w:pPr>
        <w:autoSpaceDE w:val="0"/>
        <w:autoSpaceDN w:val="0"/>
        <w:adjustRightInd w:val="0"/>
        <w:spacing w:after="0" w:line="240" w:lineRule="auto"/>
        <w:ind w:left="720"/>
        <w:jc w:val="both"/>
        <w:rPr>
          <w:rFonts w:cstheme="minorHAnsi"/>
        </w:rPr>
      </w:pPr>
      <w:r w:rsidRPr="005204BC">
        <w:rPr>
          <w:rFonts w:cstheme="minorHAnsi"/>
        </w:rPr>
        <w:t>The Group does not have any financial instruments with off balance sheet risk, the latest practicable date which is not earlier than 7 days from the date of this quarterly report.</w:t>
      </w:r>
    </w:p>
    <w:p w:rsidR="005204BC" w:rsidRPr="00627F38" w:rsidRDefault="005204BC" w:rsidP="005204BC">
      <w:pPr>
        <w:autoSpaceDE w:val="0"/>
        <w:autoSpaceDN w:val="0"/>
        <w:adjustRightInd w:val="0"/>
        <w:spacing w:after="0" w:line="240" w:lineRule="auto"/>
        <w:ind w:left="720"/>
        <w:rPr>
          <w:rFonts w:cstheme="minorHAnsi"/>
          <w:b/>
          <w:bCs/>
        </w:rPr>
      </w:pPr>
    </w:p>
    <w:p w:rsidR="00D208FE" w:rsidRPr="00627F38" w:rsidRDefault="00D208FE" w:rsidP="00D208FE">
      <w:pPr>
        <w:autoSpaceDE w:val="0"/>
        <w:autoSpaceDN w:val="0"/>
        <w:adjustRightInd w:val="0"/>
        <w:spacing w:after="0" w:line="240" w:lineRule="auto"/>
        <w:rPr>
          <w:rFonts w:cstheme="minorHAnsi"/>
          <w:b/>
          <w:bCs/>
        </w:rPr>
      </w:pPr>
      <w:r w:rsidRPr="00627F38">
        <w:rPr>
          <w:rFonts w:cstheme="minorHAnsi"/>
          <w:b/>
          <w:bCs/>
        </w:rPr>
        <w:t>B10.</w:t>
      </w:r>
      <w:r w:rsidRPr="00627F38">
        <w:rPr>
          <w:rFonts w:cstheme="minorHAnsi"/>
          <w:b/>
          <w:bCs/>
        </w:rPr>
        <w:tab/>
        <w:t xml:space="preserve"> Material Litigation</w:t>
      </w:r>
    </w:p>
    <w:p w:rsidR="00D208FE" w:rsidRPr="00627F38" w:rsidRDefault="00D208FE" w:rsidP="00D208FE">
      <w:pPr>
        <w:autoSpaceDE w:val="0"/>
        <w:autoSpaceDN w:val="0"/>
        <w:adjustRightInd w:val="0"/>
        <w:spacing w:after="0" w:line="240" w:lineRule="auto"/>
        <w:rPr>
          <w:rFonts w:cstheme="minorHAnsi"/>
          <w:b/>
          <w:bCs/>
        </w:rPr>
      </w:pPr>
    </w:p>
    <w:p w:rsidR="00603833" w:rsidRDefault="00471A2C" w:rsidP="00603833">
      <w:pPr>
        <w:pStyle w:val="ListParagraph"/>
        <w:numPr>
          <w:ilvl w:val="0"/>
          <w:numId w:val="17"/>
        </w:numPr>
        <w:autoSpaceDE w:val="0"/>
        <w:autoSpaceDN w:val="0"/>
        <w:adjustRightInd w:val="0"/>
        <w:spacing w:after="0" w:line="240" w:lineRule="auto"/>
        <w:jc w:val="both"/>
        <w:rPr>
          <w:rFonts w:cstheme="minorHAnsi"/>
          <w:b/>
          <w:bCs/>
        </w:rPr>
      </w:pPr>
      <w:proofErr w:type="spellStart"/>
      <w:r w:rsidRPr="00603833">
        <w:rPr>
          <w:rFonts w:cstheme="minorHAnsi"/>
          <w:b/>
          <w:bCs/>
        </w:rPr>
        <w:t>Pembinaan</w:t>
      </w:r>
      <w:proofErr w:type="spellEnd"/>
      <w:r w:rsidRPr="00603833">
        <w:rPr>
          <w:rFonts w:cstheme="minorHAnsi"/>
          <w:b/>
          <w:bCs/>
        </w:rPr>
        <w:t xml:space="preserve"> Kota </w:t>
      </w:r>
      <w:proofErr w:type="spellStart"/>
      <w:r w:rsidRPr="00603833">
        <w:rPr>
          <w:rFonts w:cstheme="minorHAnsi"/>
          <w:b/>
          <w:bCs/>
        </w:rPr>
        <w:t>Laksamana</w:t>
      </w:r>
      <w:proofErr w:type="spellEnd"/>
      <w:r w:rsidRPr="00603833">
        <w:rPr>
          <w:rFonts w:cstheme="minorHAnsi"/>
          <w:b/>
          <w:bCs/>
        </w:rPr>
        <w:t xml:space="preserve"> (Melaka) </w:t>
      </w:r>
      <w:proofErr w:type="spellStart"/>
      <w:r w:rsidRPr="00603833">
        <w:rPr>
          <w:rFonts w:cstheme="minorHAnsi"/>
          <w:b/>
          <w:bCs/>
        </w:rPr>
        <w:t>Sdn</w:t>
      </w:r>
      <w:proofErr w:type="spellEnd"/>
      <w:r w:rsidRPr="00603833">
        <w:rPr>
          <w:rFonts w:cstheme="minorHAnsi"/>
          <w:b/>
          <w:bCs/>
        </w:rPr>
        <w:t xml:space="preserve">. Bhd. </w:t>
      </w:r>
      <w:proofErr w:type="spellStart"/>
      <w:r w:rsidRPr="00603833">
        <w:rPr>
          <w:rFonts w:cstheme="minorHAnsi"/>
          <w:b/>
          <w:bCs/>
        </w:rPr>
        <w:t>Vs</w:t>
      </w:r>
      <w:proofErr w:type="spellEnd"/>
      <w:r w:rsidRPr="00603833">
        <w:rPr>
          <w:rFonts w:cstheme="minorHAnsi"/>
          <w:b/>
          <w:bCs/>
        </w:rPr>
        <w:t xml:space="preserve"> 1) </w:t>
      </w:r>
      <w:proofErr w:type="spellStart"/>
      <w:r w:rsidRPr="00603833">
        <w:rPr>
          <w:rFonts w:cstheme="minorHAnsi"/>
          <w:b/>
          <w:bCs/>
        </w:rPr>
        <w:t>Pesona</w:t>
      </w:r>
      <w:proofErr w:type="spellEnd"/>
      <w:r w:rsidRPr="00603833">
        <w:rPr>
          <w:rFonts w:cstheme="minorHAnsi"/>
          <w:b/>
          <w:bCs/>
        </w:rPr>
        <w:t xml:space="preserve"> Metro </w:t>
      </w:r>
      <w:proofErr w:type="spellStart"/>
      <w:r w:rsidRPr="00603833">
        <w:rPr>
          <w:rFonts w:cstheme="minorHAnsi"/>
          <w:b/>
          <w:bCs/>
        </w:rPr>
        <w:t>Sdn</w:t>
      </w:r>
      <w:proofErr w:type="spellEnd"/>
      <w:r w:rsidRPr="00603833">
        <w:rPr>
          <w:rFonts w:cstheme="minorHAnsi"/>
          <w:b/>
          <w:bCs/>
        </w:rPr>
        <w:t>. Bhd. (1</w:t>
      </w:r>
      <w:r w:rsidRPr="00603833">
        <w:rPr>
          <w:rFonts w:cstheme="minorHAnsi"/>
          <w:b/>
          <w:bCs/>
          <w:vertAlign w:val="superscript"/>
        </w:rPr>
        <w:t>st</w:t>
      </w:r>
      <w:r w:rsidRPr="00603833">
        <w:rPr>
          <w:rFonts w:cstheme="minorHAnsi"/>
          <w:b/>
          <w:bCs/>
        </w:rPr>
        <w:t xml:space="preserve"> Defendant), 2) </w:t>
      </w:r>
      <w:proofErr w:type="spellStart"/>
      <w:r w:rsidRPr="00603833">
        <w:rPr>
          <w:rFonts w:cstheme="minorHAnsi"/>
          <w:b/>
          <w:bCs/>
        </w:rPr>
        <w:t>Pentadbir</w:t>
      </w:r>
      <w:proofErr w:type="spellEnd"/>
      <w:r w:rsidRPr="00603833">
        <w:rPr>
          <w:rFonts w:cstheme="minorHAnsi"/>
          <w:b/>
          <w:bCs/>
        </w:rPr>
        <w:t xml:space="preserve"> Tanah Melaka Tengah (2</w:t>
      </w:r>
      <w:r w:rsidRPr="00603833">
        <w:rPr>
          <w:rFonts w:cstheme="minorHAnsi"/>
          <w:b/>
          <w:bCs/>
          <w:vertAlign w:val="superscript"/>
        </w:rPr>
        <w:t>nd</w:t>
      </w:r>
      <w:r w:rsidRPr="00603833">
        <w:rPr>
          <w:rFonts w:cstheme="minorHAnsi"/>
          <w:b/>
          <w:bCs/>
        </w:rPr>
        <w:t xml:space="preserve"> Defendant), </w:t>
      </w:r>
      <w:r w:rsidR="00603833" w:rsidRPr="00603833">
        <w:rPr>
          <w:rFonts w:cstheme="minorHAnsi"/>
          <w:b/>
          <w:bCs/>
        </w:rPr>
        <w:t xml:space="preserve">3) </w:t>
      </w:r>
      <w:proofErr w:type="spellStart"/>
      <w:r w:rsidR="00603833" w:rsidRPr="00603833">
        <w:rPr>
          <w:rFonts w:cstheme="minorHAnsi"/>
          <w:b/>
          <w:bCs/>
        </w:rPr>
        <w:t>Kerajaan</w:t>
      </w:r>
      <w:proofErr w:type="spellEnd"/>
      <w:r w:rsidR="00603833" w:rsidRPr="00603833">
        <w:rPr>
          <w:rFonts w:cstheme="minorHAnsi"/>
          <w:b/>
          <w:bCs/>
        </w:rPr>
        <w:t xml:space="preserve"> </w:t>
      </w:r>
      <w:proofErr w:type="spellStart"/>
      <w:r w:rsidR="00603833" w:rsidRPr="00603833">
        <w:rPr>
          <w:rFonts w:cstheme="minorHAnsi"/>
          <w:b/>
          <w:bCs/>
        </w:rPr>
        <w:t>Negeri</w:t>
      </w:r>
      <w:proofErr w:type="spellEnd"/>
      <w:r w:rsidR="00603833" w:rsidRPr="00603833">
        <w:rPr>
          <w:rFonts w:cstheme="minorHAnsi"/>
          <w:b/>
          <w:bCs/>
        </w:rPr>
        <w:t xml:space="preserve"> Melaka (3</w:t>
      </w:r>
      <w:r w:rsidR="00603833" w:rsidRPr="00603833">
        <w:rPr>
          <w:rFonts w:cstheme="minorHAnsi"/>
          <w:b/>
          <w:bCs/>
          <w:vertAlign w:val="superscript"/>
        </w:rPr>
        <w:t>rd</w:t>
      </w:r>
      <w:r w:rsidR="00603833" w:rsidRPr="00603833">
        <w:rPr>
          <w:rFonts w:cstheme="minorHAnsi"/>
          <w:b/>
          <w:bCs/>
        </w:rPr>
        <w:t xml:space="preserve"> Defendant), 4</w:t>
      </w:r>
      <w:r w:rsidRPr="00603833">
        <w:rPr>
          <w:rFonts w:cstheme="minorHAnsi"/>
          <w:b/>
          <w:bCs/>
        </w:rPr>
        <w:t xml:space="preserve">) </w:t>
      </w:r>
      <w:proofErr w:type="spellStart"/>
      <w:r w:rsidRPr="00603833">
        <w:rPr>
          <w:rFonts w:cstheme="minorHAnsi"/>
          <w:b/>
          <w:bCs/>
        </w:rPr>
        <w:t>Pengarah</w:t>
      </w:r>
      <w:proofErr w:type="spellEnd"/>
      <w:r w:rsidRPr="00603833">
        <w:rPr>
          <w:rFonts w:cstheme="minorHAnsi"/>
          <w:b/>
          <w:bCs/>
        </w:rPr>
        <w:t xml:space="preserve"> Tanah Dan </w:t>
      </w:r>
      <w:proofErr w:type="spellStart"/>
      <w:r w:rsidRPr="00603833">
        <w:rPr>
          <w:rFonts w:cstheme="minorHAnsi"/>
          <w:b/>
          <w:bCs/>
        </w:rPr>
        <w:t>Galian</w:t>
      </w:r>
      <w:proofErr w:type="spellEnd"/>
      <w:r w:rsidRPr="00603833">
        <w:rPr>
          <w:rFonts w:cstheme="minorHAnsi"/>
          <w:b/>
          <w:bCs/>
        </w:rPr>
        <w:t xml:space="preserve"> </w:t>
      </w:r>
      <w:proofErr w:type="spellStart"/>
      <w:r w:rsidRPr="00603833">
        <w:rPr>
          <w:rFonts w:cstheme="minorHAnsi"/>
          <w:b/>
          <w:bCs/>
        </w:rPr>
        <w:t>Negeri</w:t>
      </w:r>
      <w:proofErr w:type="spellEnd"/>
      <w:r w:rsidRPr="00603833">
        <w:rPr>
          <w:rFonts w:cstheme="minorHAnsi"/>
          <w:b/>
          <w:bCs/>
        </w:rPr>
        <w:t xml:space="preserve"> Melaka (</w:t>
      </w:r>
      <w:r w:rsidR="00603833" w:rsidRPr="00603833">
        <w:rPr>
          <w:rFonts w:cstheme="minorHAnsi"/>
          <w:b/>
          <w:bCs/>
        </w:rPr>
        <w:t>4</w:t>
      </w:r>
      <w:r w:rsidR="00603833" w:rsidRPr="00603833">
        <w:rPr>
          <w:rFonts w:cstheme="minorHAnsi"/>
          <w:b/>
          <w:bCs/>
          <w:vertAlign w:val="superscript"/>
        </w:rPr>
        <w:t>th</w:t>
      </w:r>
      <w:r w:rsidR="00603833" w:rsidRPr="00603833">
        <w:rPr>
          <w:rFonts w:cstheme="minorHAnsi"/>
          <w:b/>
          <w:bCs/>
        </w:rPr>
        <w:t xml:space="preserve"> Defendant), 5) </w:t>
      </w:r>
      <w:proofErr w:type="spellStart"/>
      <w:r w:rsidR="00603833" w:rsidRPr="00603833">
        <w:rPr>
          <w:rFonts w:cstheme="minorHAnsi"/>
          <w:b/>
          <w:bCs/>
        </w:rPr>
        <w:t>Y</w:t>
      </w:r>
      <w:r w:rsidRPr="00603833">
        <w:rPr>
          <w:rFonts w:cstheme="minorHAnsi"/>
          <w:b/>
          <w:bCs/>
        </w:rPr>
        <w:t>g</w:t>
      </w:r>
      <w:proofErr w:type="spellEnd"/>
      <w:r w:rsidRPr="00603833">
        <w:rPr>
          <w:rFonts w:cstheme="minorHAnsi"/>
          <w:b/>
          <w:bCs/>
        </w:rPr>
        <w:t xml:space="preserve">. </w:t>
      </w:r>
      <w:proofErr w:type="spellStart"/>
      <w:r w:rsidRPr="00603833">
        <w:rPr>
          <w:rFonts w:cstheme="minorHAnsi"/>
          <w:b/>
          <w:bCs/>
        </w:rPr>
        <w:t>Bahagia</w:t>
      </w:r>
      <w:proofErr w:type="spellEnd"/>
      <w:r w:rsidRPr="00603833">
        <w:rPr>
          <w:rFonts w:cstheme="minorHAnsi"/>
          <w:b/>
          <w:bCs/>
        </w:rPr>
        <w:t xml:space="preserve"> </w:t>
      </w:r>
      <w:proofErr w:type="spellStart"/>
      <w:r w:rsidRPr="00603833">
        <w:rPr>
          <w:rFonts w:cstheme="minorHAnsi"/>
          <w:b/>
          <w:bCs/>
        </w:rPr>
        <w:t>Datuk</w:t>
      </w:r>
      <w:proofErr w:type="spellEnd"/>
      <w:r w:rsidRPr="00603833">
        <w:rPr>
          <w:rFonts w:cstheme="minorHAnsi"/>
          <w:b/>
          <w:bCs/>
        </w:rPr>
        <w:t xml:space="preserve"> Bandar </w:t>
      </w:r>
      <w:proofErr w:type="spellStart"/>
      <w:r w:rsidRPr="00603833">
        <w:rPr>
          <w:rFonts w:cstheme="minorHAnsi"/>
          <w:b/>
          <w:bCs/>
        </w:rPr>
        <w:t>Majlis</w:t>
      </w:r>
      <w:proofErr w:type="spellEnd"/>
      <w:r w:rsidRPr="00603833">
        <w:rPr>
          <w:rFonts w:cstheme="minorHAnsi"/>
          <w:b/>
          <w:bCs/>
        </w:rPr>
        <w:t xml:space="preserve"> </w:t>
      </w:r>
      <w:proofErr w:type="spellStart"/>
      <w:r w:rsidRPr="00603833">
        <w:rPr>
          <w:rFonts w:cstheme="minorHAnsi"/>
          <w:b/>
          <w:bCs/>
        </w:rPr>
        <w:t>Bandaraya</w:t>
      </w:r>
      <w:proofErr w:type="spellEnd"/>
      <w:r w:rsidRPr="00603833">
        <w:rPr>
          <w:rFonts w:cstheme="minorHAnsi"/>
          <w:b/>
          <w:bCs/>
        </w:rPr>
        <w:t xml:space="preserve"> Melaka </w:t>
      </w:r>
      <w:proofErr w:type="spellStart"/>
      <w:r w:rsidRPr="00603833">
        <w:rPr>
          <w:rFonts w:cstheme="minorHAnsi"/>
          <w:b/>
          <w:bCs/>
        </w:rPr>
        <w:t>Bersejarah</w:t>
      </w:r>
      <w:proofErr w:type="spellEnd"/>
      <w:r w:rsidRPr="00603833">
        <w:rPr>
          <w:rFonts w:cstheme="minorHAnsi"/>
          <w:b/>
          <w:bCs/>
        </w:rPr>
        <w:t xml:space="preserve"> (</w:t>
      </w:r>
      <w:r w:rsidR="00603833" w:rsidRPr="00603833">
        <w:rPr>
          <w:rFonts w:cstheme="minorHAnsi"/>
          <w:b/>
          <w:bCs/>
        </w:rPr>
        <w:t>5</w:t>
      </w:r>
      <w:r w:rsidRPr="00603833">
        <w:rPr>
          <w:rFonts w:cstheme="minorHAnsi"/>
          <w:b/>
          <w:bCs/>
          <w:vertAlign w:val="superscript"/>
        </w:rPr>
        <w:t>th</w:t>
      </w:r>
      <w:r w:rsidRPr="00603833">
        <w:rPr>
          <w:rFonts w:cstheme="minorHAnsi"/>
          <w:b/>
          <w:bCs/>
        </w:rPr>
        <w:t xml:space="preserve"> Defendant), </w:t>
      </w:r>
      <w:r w:rsidR="00603833" w:rsidRPr="00603833">
        <w:rPr>
          <w:rFonts w:cstheme="minorHAnsi"/>
          <w:b/>
          <w:bCs/>
        </w:rPr>
        <w:t>6</w:t>
      </w:r>
      <w:r w:rsidRPr="00603833">
        <w:rPr>
          <w:rFonts w:cstheme="minorHAnsi"/>
          <w:b/>
          <w:bCs/>
        </w:rPr>
        <w:t xml:space="preserve">) </w:t>
      </w:r>
      <w:proofErr w:type="spellStart"/>
      <w:r w:rsidRPr="00603833">
        <w:rPr>
          <w:rFonts w:cstheme="minorHAnsi"/>
          <w:b/>
          <w:bCs/>
        </w:rPr>
        <w:t>Pengarah</w:t>
      </w:r>
      <w:proofErr w:type="spellEnd"/>
      <w:r w:rsidRPr="00603833">
        <w:rPr>
          <w:rFonts w:cstheme="minorHAnsi"/>
          <w:b/>
          <w:bCs/>
        </w:rPr>
        <w:t xml:space="preserve"> Jab. </w:t>
      </w:r>
      <w:proofErr w:type="spellStart"/>
      <w:r w:rsidRPr="00603833">
        <w:rPr>
          <w:rFonts w:cstheme="minorHAnsi"/>
          <w:b/>
          <w:bCs/>
        </w:rPr>
        <w:t>Kerjaraya</w:t>
      </w:r>
      <w:proofErr w:type="spellEnd"/>
      <w:r w:rsidRPr="00603833">
        <w:rPr>
          <w:rFonts w:cstheme="minorHAnsi"/>
          <w:b/>
          <w:bCs/>
        </w:rPr>
        <w:t xml:space="preserve"> </w:t>
      </w:r>
      <w:proofErr w:type="spellStart"/>
      <w:r w:rsidRPr="00603833">
        <w:rPr>
          <w:rFonts w:cstheme="minorHAnsi"/>
          <w:b/>
          <w:bCs/>
        </w:rPr>
        <w:t>Cawangan</w:t>
      </w:r>
      <w:proofErr w:type="spellEnd"/>
      <w:r w:rsidRPr="00603833">
        <w:rPr>
          <w:rFonts w:cstheme="minorHAnsi"/>
          <w:b/>
          <w:bCs/>
        </w:rPr>
        <w:t xml:space="preserve"> </w:t>
      </w:r>
      <w:proofErr w:type="spellStart"/>
      <w:r w:rsidRPr="00603833">
        <w:rPr>
          <w:rFonts w:cstheme="minorHAnsi"/>
          <w:b/>
          <w:bCs/>
        </w:rPr>
        <w:t>Pengkalan</w:t>
      </w:r>
      <w:proofErr w:type="spellEnd"/>
      <w:r w:rsidRPr="00603833">
        <w:rPr>
          <w:rFonts w:cstheme="minorHAnsi"/>
          <w:b/>
          <w:bCs/>
        </w:rPr>
        <w:t xml:space="preserve"> </w:t>
      </w:r>
      <w:proofErr w:type="spellStart"/>
      <w:r w:rsidRPr="00603833">
        <w:rPr>
          <w:rFonts w:cstheme="minorHAnsi"/>
          <w:b/>
          <w:bCs/>
        </w:rPr>
        <w:t>Udara</w:t>
      </w:r>
      <w:proofErr w:type="spellEnd"/>
      <w:r w:rsidRPr="00603833">
        <w:rPr>
          <w:rFonts w:cstheme="minorHAnsi"/>
          <w:b/>
          <w:bCs/>
        </w:rPr>
        <w:t xml:space="preserve"> &amp; </w:t>
      </w:r>
      <w:proofErr w:type="spellStart"/>
      <w:r w:rsidRPr="00603833">
        <w:rPr>
          <w:rFonts w:cstheme="minorHAnsi"/>
          <w:b/>
          <w:bCs/>
        </w:rPr>
        <w:t>Maritim</w:t>
      </w:r>
      <w:proofErr w:type="spellEnd"/>
      <w:r w:rsidRPr="00603833">
        <w:rPr>
          <w:rFonts w:cstheme="minorHAnsi"/>
          <w:b/>
          <w:bCs/>
        </w:rPr>
        <w:t xml:space="preserve"> (</w:t>
      </w:r>
      <w:r w:rsidR="00603833" w:rsidRPr="00603833">
        <w:rPr>
          <w:rFonts w:cstheme="minorHAnsi"/>
          <w:b/>
          <w:bCs/>
        </w:rPr>
        <w:t>6</w:t>
      </w:r>
      <w:r w:rsidRPr="00603833">
        <w:rPr>
          <w:rFonts w:cstheme="minorHAnsi"/>
          <w:b/>
          <w:bCs/>
          <w:vertAlign w:val="superscript"/>
        </w:rPr>
        <w:t>th</w:t>
      </w:r>
      <w:r w:rsidRPr="00603833">
        <w:rPr>
          <w:rFonts w:cstheme="minorHAnsi"/>
          <w:b/>
          <w:bCs/>
        </w:rPr>
        <w:t xml:space="preserve"> Defendant),</w:t>
      </w:r>
      <w:r w:rsidR="00603833" w:rsidRPr="00603833">
        <w:rPr>
          <w:rFonts w:cstheme="minorHAnsi"/>
          <w:b/>
          <w:bCs/>
        </w:rPr>
        <w:t xml:space="preserve"> 7</w:t>
      </w:r>
      <w:r w:rsidRPr="00603833">
        <w:rPr>
          <w:rFonts w:cstheme="minorHAnsi"/>
          <w:b/>
          <w:bCs/>
        </w:rPr>
        <w:t xml:space="preserve">) </w:t>
      </w:r>
      <w:proofErr w:type="spellStart"/>
      <w:r w:rsidRPr="00603833">
        <w:rPr>
          <w:rFonts w:cstheme="minorHAnsi"/>
          <w:b/>
          <w:bCs/>
        </w:rPr>
        <w:t>Kementerian</w:t>
      </w:r>
      <w:proofErr w:type="spellEnd"/>
      <w:r w:rsidRPr="00603833">
        <w:rPr>
          <w:rFonts w:cstheme="minorHAnsi"/>
          <w:b/>
          <w:bCs/>
        </w:rPr>
        <w:t xml:space="preserve"> </w:t>
      </w:r>
      <w:proofErr w:type="spellStart"/>
      <w:r w:rsidRPr="00603833">
        <w:rPr>
          <w:rFonts w:cstheme="minorHAnsi"/>
          <w:b/>
          <w:bCs/>
        </w:rPr>
        <w:t>Dalam</w:t>
      </w:r>
      <w:proofErr w:type="spellEnd"/>
      <w:r w:rsidRPr="00603833">
        <w:rPr>
          <w:rFonts w:cstheme="minorHAnsi"/>
          <w:b/>
          <w:bCs/>
        </w:rPr>
        <w:t xml:space="preserve"> </w:t>
      </w:r>
      <w:proofErr w:type="spellStart"/>
      <w:r w:rsidRPr="00603833">
        <w:rPr>
          <w:rFonts w:cstheme="minorHAnsi"/>
          <w:b/>
          <w:bCs/>
        </w:rPr>
        <w:t>Negeri</w:t>
      </w:r>
      <w:proofErr w:type="spellEnd"/>
      <w:r w:rsidRPr="00603833">
        <w:rPr>
          <w:rFonts w:cstheme="minorHAnsi"/>
          <w:b/>
          <w:bCs/>
        </w:rPr>
        <w:t xml:space="preserve"> (</w:t>
      </w:r>
      <w:r w:rsidR="00603833" w:rsidRPr="00603833">
        <w:rPr>
          <w:rFonts w:cstheme="minorHAnsi"/>
          <w:b/>
          <w:bCs/>
        </w:rPr>
        <w:t>7</w:t>
      </w:r>
      <w:r w:rsidR="00603833" w:rsidRPr="00603833">
        <w:rPr>
          <w:rFonts w:cstheme="minorHAnsi"/>
          <w:b/>
          <w:bCs/>
          <w:vertAlign w:val="superscript"/>
        </w:rPr>
        <w:t>th</w:t>
      </w:r>
      <w:r w:rsidR="00603833" w:rsidRPr="00603833">
        <w:rPr>
          <w:rFonts w:cstheme="minorHAnsi"/>
          <w:b/>
          <w:bCs/>
        </w:rPr>
        <w:t xml:space="preserve"> </w:t>
      </w:r>
      <w:r w:rsidR="00603833">
        <w:rPr>
          <w:rFonts w:cstheme="minorHAnsi"/>
          <w:b/>
          <w:bCs/>
        </w:rPr>
        <w:t>Defendant)</w:t>
      </w:r>
    </w:p>
    <w:p w:rsidR="00603833" w:rsidRPr="00603833" w:rsidRDefault="00603833" w:rsidP="00603833">
      <w:pPr>
        <w:pStyle w:val="ListParagraph"/>
        <w:autoSpaceDE w:val="0"/>
        <w:autoSpaceDN w:val="0"/>
        <w:adjustRightInd w:val="0"/>
        <w:spacing w:after="0" w:line="240" w:lineRule="auto"/>
        <w:ind w:left="1440"/>
        <w:rPr>
          <w:rFonts w:cstheme="minorHAnsi"/>
          <w:b/>
          <w:bCs/>
        </w:rPr>
      </w:pPr>
      <w:proofErr w:type="spellStart"/>
      <w:r w:rsidRPr="00603833">
        <w:rPr>
          <w:rFonts w:cstheme="minorHAnsi"/>
          <w:b/>
          <w:bCs/>
        </w:rPr>
        <w:t>Melacca</w:t>
      </w:r>
      <w:proofErr w:type="spellEnd"/>
      <w:r w:rsidRPr="00603833">
        <w:rPr>
          <w:rFonts w:cstheme="minorHAnsi"/>
          <w:b/>
          <w:bCs/>
        </w:rPr>
        <w:t xml:space="preserve"> High Court Writ of Summons No.:21-1-2011</w:t>
      </w:r>
    </w:p>
    <w:p w:rsidR="00603833" w:rsidRDefault="00603833">
      <w:pPr>
        <w:rPr>
          <w:rFonts w:cstheme="minorHAnsi"/>
          <w:b/>
          <w:bCs/>
        </w:rPr>
      </w:pPr>
      <w:r>
        <w:rPr>
          <w:rFonts w:cstheme="minorHAnsi"/>
          <w:b/>
          <w:bCs/>
        </w:rPr>
        <w:br w:type="page"/>
      </w:r>
    </w:p>
    <w:p w:rsidR="00603833" w:rsidRPr="002F1C6E" w:rsidRDefault="00603833" w:rsidP="00603833">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603833" w:rsidRDefault="00603833" w:rsidP="00603833">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603833" w:rsidRDefault="00603833" w:rsidP="00603833">
      <w:pPr>
        <w:pStyle w:val="ListParagraph"/>
        <w:autoSpaceDE w:val="0"/>
        <w:autoSpaceDN w:val="0"/>
        <w:adjustRightInd w:val="0"/>
        <w:spacing w:after="0" w:line="240" w:lineRule="auto"/>
        <w:ind w:left="1440"/>
        <w:rPr>
          <w:rFonts w:cstheme="minorHAnsi"/>
          <w:b/>
          <w:bCs/>
        </w:rPr>
      </w:pPr>
    </w:p>
    <w:p w:rsidR="00603833" w:rsidRDefault="00603833" w:rsidP="00603833">
      <w:pPr>
        <w:autoSpaceDE w:val="0"/>
        <w:autoSpaceDN w:val="0"/>
        <w:adjustRightInd w:val="0"/>
        <w:spacing w:after="0" w:line="240" w:lineRule="auto"/>
        <w:rPr>
          <w:rFonts w:cstheme="minorHAnsi"/>
          <w:b/>
          <w:bCs/>
        </w:rPr>
      </w:pPr>
      <w:r w:rsidRPr="00627F38">
        <w:rPr>
          <w:rFonts w:cstheme="minorHAnsi"/>
          <w:b/>
          <w:bCs/>
        </w:rPr>
        <w:t>B10.</w:t>
      </w:r>
      <w:r w:rsidRPr="00627F38">
        <w:rPr>
          <w:rFonts w:cstheme="minorHAnsi"/>
          <w:b/>
          <w:bCs/>
        </w:rPr>
        <w:tab/>
        <w:t xml:space="preserve"> Material Litigation</w:t>
      </w:r>
      <w:r>
        <w:rPr>
          <w:rFonts w:cstheme="minorHAnsi"/>
          <w:b/>
          <w:bCs/>
        </w:rPr>
        <w:t xml:space="preserve"> (Continued)</w:t>
      </w:r>
    </w:p>
    <w:p w:rsidR="00603833" w:rsidRPr="00627F38" w:rsidRDefault="00603833" w:rsidP="00603833">
      <w:pPr>
        <w:autoSpaceDE w:val="0"/>
        <w:autoSpaceDN w:val="0"/>
        <w:adjustRightInd w:val="0"/>
        <w:spacing w:after="0" w:line="240" w:lineRule="auto"/>
        <w:rPr>
          <w:rFonts w:cstheme="minorHAnsi"/>
          <w:b/>
          <w:bCs/>
        </w:rPr>
      </w:pPr>
    </w:p>
    <w:p w:rsidR="00603833" w:rsidRDefault="00603833" w:rsidP="00603833">
      <w:pPr>
        <w:pStyle w:val="ListParagraph"/>
        <w:autoSpaceDE w:val="0"/>
        <w:autoSpaceDN w:val="0"/>
        <w:adjustRightInd w:val="0"/>
        <w:spacing w:after="0" w:line="240" w:lineRule="auto"/>
        <w:ind w:left="1440"/>
        <w:jc w:val="both"/>
        <w:rPr>
          <w:rFonts w:cstheme="minorHAnsi"/>
          <w:bCs/>
        </w:rPr>
      </w:pPr>
      <w:proofErr w:type="spellStart"/>
      <w:r>
        <w:rPr>
          <w:rFonts w:cstheme="minorHAnsi"/>
          <w:bCs/>
        </w:rPr>
        <w:t>Pembinaan</w:t>
      </w:r>
      <w:proofErr w:type="spellEnd"/>
      <w:r>
        <w:rPr>
          <w:rFonts w:cstheme="minorHAnsi"/>
          <w:bCs/>
        </w:rPr>
        <w:t xml:space="preserve"> Kota </w:t>
      </w:r>
      <w:proofErr w:type="spellStart"/>
      <w:r>
        <w:rPr>
          <w:rFonts w:cstheme="minorHAnsi"/>
          <w:bCs/>
        </w:rPr>
        <w:t>Laksamana</w:t>
      </w:r>
      <w:proofErr w:type="spellEnd"/>
      <w:r>
        <w:rPr>
          <w:rFonts w:cstheme="minorHAnsi"/>
          <w:bCs/>
        </w:rPr>
        <w:t xml:space="preserve"> (Melaka) </w:t>
      </w:r>
      <w:proofErr w:type="spellStart"/>
      <w:r>
        <w:rPr>
          <w:rFonts w:cstheme="minorHAnsi"/>
          <w:bCs/>
        </w:rPr>
        <w:t>Sdn</w:t>
      </w:r>
      <w:proofErr w:type="spellEnd"/>
      <w:r>
        <w:rPr>
          <w:rFonts w:cstheme="minorHAnsi"/>
          <w:bCs/>
        </w:rPr>
        <w:t xml:space="preserve">. Bhd. (“PKLSB”) lodged a claim in the High Court, </w:t>
      </w:r>
      <w:proofErr w:type="spellStart"/>
      <w:r>
        <w:rPr>
          <w:rFonts w:cstheme="minorHAnsi"/>
          <w:bCs/>
        </w:rPr>
        <w:t>Melacca</w:t>
      </w:r>
      <w:proofErr w:type="spellEnd"/>
      <w:r>
        <w:rPr>
          <w:rFonts w:cstheme="minorHAnsi"/>
          <w:bCs/>
        </w:rPr>
        <w:t xml:space="preserve"> High Court Writ of Summons No.:21-1-2011 on 12 February 2011. PMSB is appointed contractor of 6</w:t>
      </w:r>
      <w:r w:rsidRPr="00603833">
        <w:rPr>
          <w:rFonts w:cstheme="minorHAnsi"/>
          <w:bCs/>
          <w:vertAlign w:val="superscript"/>
        </w:rPr>
        <w:t>th</w:t>
      </w:r>
      <w:r>
        <w:rPr>
          <w:rFonts w:cstheme="minorHAnsi"/>
          <w:bCs/>
        </w:rPr>
        <w:t xml:space="preserve"> Defendant for the purposes of the project “</w:t>
      </w:r>
      <w:proofErr w:type="spellStart"/>
      <w:r>
        <w:rPr>
          <w:rFonts w:cstheme="minorHAnsi"/>
          <w:bCs/>
        </w:rPr>
        <w:t>Pembinaan</w:t>
      </w:r>
      <w:proofErr w:type="spellEnd"/>
      <w:r>
        <w:rPr>
          <w:rFonts w:cstheme="minorHAnsi"/>
          <w:bCs/>
        </w:rPr>
        <w:t xml:space="preserve"> </w:t>
      </w:r>
      <w:proofErr w:type="spellStart"/>
      <w:r>
        <w:rPr>
          <w:rFonts w:cstheme="minorHAnsi"/>
          <w:bCs/>
        </w:rPr>
        <w:t>Kompleks</w:t>
      </w:r>
      <w:proofErr w:type="spellEnd"/>
      <w:r>
        <w:rPr>
          <w:rFonts w:cstheme="minorHAnsi"/>
          <w:bCs/>
        </w:rPr>
        <w:t xml:space="preserve"> CIQ </w:t>
      </w:r>
      <w:proofErr w:type="spellStart"/>
      <w:r>
        <w:rPr>
          <w:rFonts w:cstheme="minorHAnsi"/>
          <w:bCs/>
        </w:rPr>
        <w:t>Imigresen</w:t>
      </w:r>
      <w:proofErr w:type="spellEnd"/>
      <w:r>
        <w:rPr>
          <w:rFonts w:cstheme="minorHAnsi"/>
          <w:bCs/>
        </w:rPr>
        <w:t xml:space="preserve"> </w:t>
      </w:r>
      <w:proofErr w:type="spellStart"/>
      <w:r>
        <w:rPr>
          <w:rFonts w:cstheme="minorHAnsi"/>
          <w:bCs/>
        </w:rPr>
        <w:t>dan</w:t>
      </w:r>
      <w:proofErr w:type="spellEnd"/>
      <w:r>
        <w:rPr>
          <w:rFonts w:cstheme="minorHAnsi"/>
          <w:bCs/>
        </w:rPr>
        <w:t xml:space="preserve"> </w:t>
      </w:r>
      <w:proofErr w:type="spellStart"/>
      <w:r>
        <w:rPr>
          <w:rFonts w:cstheme="minorHAnsi"/>
          <w:bCs/>
        </w:rPr>
        <w:t>Jeti</w:t>
      </w:r>
      <w:proofErr w:type="spellEnd"/>
      <w:r>
        <w:rPr>
          <w:rFonts w:cstheme="minorHAnsi"/>
          <w:bCs/>
        </w:rPr>
        <w:t xml:space="preserve"> </w:t>
      </w:r>
      <w:proofErr w:type="spellStart"/>
      <w:r>
        <w:rPr>
          <w:rFonts w:cstheme="minorHAnsi"/>
          <w:bCs/>
        </w:rPr>
        <w:t>Penumpang</w:t>
      </w:r>
      <w:proofErr w:type="spellEnd"/>
      <w:r>
        <w:rPr>
          <w:rFonts w:cstheme="minorHAnsi"/>
          <w:bCs/>
        </w:rPr>
        <w:t xml:space="preserve"> di </w:t>
      </w:r>
      <w:proofErr w:type="spellStart"/>
      <w:r>
        <w:rPr>
          <w:rFonts w:cstheme="minorHAnsi"/>
          <w:bCs/>
        </w:rPr>
        <w:t>Muara</w:t>
      </w:r>
      <w:proofErr w:type="spellEnd"/>
      <w:r>
        <w:rPr>
          <w:rFonts w:cstheme="minorHAnsi"/>
          <w:bCs/>
        </w:rPr>
        <w:t xml:space="preserve"> Sungai Melaka” (the Project”) situated at PT 824 Kaw. Bandar XLI, Daerah Melaka Tengah (“PT 824”).</w:t>
      </w:r>
    </w:p>
    <w:p w:rsidR="00603833" w:rsidRPr="00603833" w:rsidRDefault="00603833" w:rsidP="00603833">
      <w:pPr>
        <w:pStyle w:val="ListParagraph"/>
        <w:autoSpaceDE w:val="0"/>
        <w:autoSpaceDN w:val="0"/>
        <w:adjustRightInd w:val="0"/>
        <w:spacing w:after="0" w:line="240" w:lineRule="auto"/>
        <w:ind w:left="1440"/>
        <w:rPr>
          <w:rFonts w:cstheme="minorHAnsi"/>
          <w:bCs/>
        </w:rPr>
      </w:pPr>
    </w:p>
    <w:p w:rsidR="00627F38" w:rsidRDefault="00603833" w:rsidP="00D208FE">
      <w:pPr>
        <w:autoSpaceDE w:val="0"/>
        <w:autoSpaceDN w:val="0"/>
        <w:adjustRightInd w:val="0"/>
        <w:spacing w:after="0" w:line="240" w:lineRule="auto"/>
        <w:rPr>
          <w:rFonts w:cstheme="minorHAnsi"/>
        </w:rPr>
      </w:pPr>
      <w:r>
        <w:rPr>
          <w:rFonts w:cstheme="minorHAnsi"/>
        </w:rPr>
        <w:tab/>
      </w:r>
      <w:r>
        <w:rPr>
          <w:rFonts w:cstheme="minorHAnsi"/>
        </w:rPr>
        <w:tab/>
        <w:t xml:space="preserve">The </w:t>
      </w:r>
      <w:proofErr w:type="spellStart"/>
      <w:r>
        <w:rPr>
          <w:rFonts w:cstheme="minorHAnsi"/>
        </w:rPr>
        <w:t>Plantiff</w:t>
      </w:r>
      <w:proofErr w:type="spellEnd"/>
      <w:r>
        <w:rPr>
          <w:rFonts w:cstheme="minorHAnsi"/>
        </w:rPr>
        <w:t xml:space="preserve"> claimed in the following in their suit:-</w:t>
      </w:r>
    </w:p>
    <w:p w:rsidR="00603833" w:rsidRDefault="00603833" w:rsidP="00D208FE">
      <w:pPr>
        <w:autoSpaceDE w:val="0"/>
        <w:autoSpaceDN w:val="0"/>
        <w:adjustRightInd w:val="0"/>
        <w:spacing w:after="0" w:line="240" w:lineRule="auto"/>
        <w:rPr>
          <w:rFonts w:cstheme="minorHAnsi"/>
        </w:rPr>
      </w:pPr>
    </w:p>
    <w:p w:rsidR="00603833" w:rsidRDefault="00603833"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 xml:space="preserve">RM200 million in damages from the Defendants’ act </w:t>
      </w:r>
      <w:r w:rsidR="00CE39E5">
        <w:rPr>
          <w:rFonts w:cstheme="minorHAnsi"/>
        </w:rPr>
        <w:t>o</w:t>
      </w:r>
      <w:r>
        <w:rPr>
          <w:rFonts w:cstheme="minorHAnsi"/>
        </w:rPr>
        <w:t xml:space="preserve">f </w:t>
      </w:r>
      <w:r w:rsidR="00CE39E5">
        <w:rPr>
          <w:rFonts w:cstheme="minorHAnsi"/>
        </w:rPr>
        <w:t xml:space="preserve">trespass into the </w:t>
      </w:r>
      <w:proofErr w:type="spellStart"/>
      <w:r w:rsidR="00CE39E5">
        <w:rPr>
          <w:rFonts w:cstheme="minorHAnsi"/>
        </w:rPr>
        <w:t>Plantiff’s</w:t>
      </w:r>
      <w:proofErr w:type="spellEnd"/>
      <w:r w:rsidR="00CE39E5">
        <w:rPr>
          <w:rFonts w:cstheme="minorHAnsi"/>
        </w:rPr>
        <w:t xml:space="preserve"> land;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 xml:space="preserve">Loss suffered by the </w:t>
      </w:r>
      <w:proofErr w:type="spellStart"/>
      <w:r>
        <w:rPr>
          <w:rFonts w:cstheme="minorHAnsi"/>
        </w:rPr>
        <w:t>Plantiff</w:t>
      </w:r>
      <w:proofErr w:type="spellEnd"/>
      <w:r>
        <w:rPr>
          <w:rFonts w:cstheme="minorHAnsi"/>
        </w:rPr>
        <w:t xml:space="preserve"> amounting to RM23.3 million due to the </w:t>
      </w:r>
      <w:proofErr w:type="spellStart"/>
      <w:r>
        <w:rPr>
          <w:rFonts w:cstheme="minorHAnsi"/>
        </w:rPr>
        <w:t>Plantiff’s</w:t>
      </w:r>
      <w:proofErr w:type="spellEnd"/>
      <w:r>
        <w:rPr>
          <w:rFonts w:cstheme="minorHAnsi"/>
        </w:rPr>
        <w:t xml:space="preserve"> failure to proceed with the sales transaction with a third party purchaser, Syarikat Dong </w:t>
      </w:r>
      <w:proofErr w:type="spellStart"/>
      <w:r>
        <w:rPr>
          <w:rFonts w:cstheme="minorHAnsi"/>
        </w:rPr>
        <w:t>Hyuk</w:t>
      </w:r>
      <w:proofErr w:type="spellEnd"/>
      <w:r>
        <w:rPr>
          <w:rFonts w:cstheme="minorHAnsi"/>
        </w:rPr>
        <w:t xml:space="preserve"> Construction Co. Ltd.;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General and aggravated damaged;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Interest at the rate of 8% per annum calculated on RM200 million from the date of trespass until full settlement;</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 xml:space="preserve">Interest at the rate of 8% per annum calculated on the general and aggravated damaged from </w:t>
      </w:r>
      <w:proofErr w:type="spellStart"/>
      <w:r>
        <w:rPr>
          <w:rFonts w:cstheme="minorHAnsi"/>
        </w:rPr>
        <w:t>judgement</w:t>
      </w:r>
      <w:proofErr w:type="spellEnd"/>
      <w:r>
        <w:rPr>
          <w:rFonts w:cstheme="minorHAnsi"/>
        </w:rPr>
        <w:t xml:space="preserve"> date until full settlement;</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 xml:space="preserve">Interest at the rate of 8% per annum calculated on RM23.3 million from </w:t>
      </w:r>
      <w:proofErr w:type="spellStart"/>
      <w:r>
        <w:rPr>
          <w:rFonts w:cstheme="minorHAnsi"/>
        </w:rPr>
        <w:t>judgement</w:t>
      </w:r>
      <w:proofErr w:type="spellEnd"/>
      <w:r>
        <w:rPr>
          <w:rFonts w:cstheme="minorHAnsi"/>
        </w:rPr>
        <w:t xml:space="preserve"> date until full settlement;</w:t>
      </w:r>
      <w:r w:rsidR="00E21A58">
        <w:rPr>
          <w:rFonts w:cstheme="minorHAnsi"/>
        </w:rPr>
        <w:t xml:space="preserve"> and</w:t>
      </w:r>
    </w:p>
    <w:p w:rsidR="00CE39E5" w:rsidRDefault="00CE39E5" w:rsidP="001A5F27">
      <w:pPr>
        <w:pStyle w:val="ListParagraph"/>
        <w:numPr>
          <w:ilvl w:val="0"/>
          <w:numId w:val="18"/>
        </w:numPr>
        <w:autoSpaceDE w:val="0"/>
        <w:autoSpaceDN w:val="0"/>
        <w:adjustRightInd w:val="0"/>
        <w:spacing w:after="0" w:line="240" w:lineRule="auto"/>
        <w:jc w:val="both"/>
        <w:rPr>
          <w:rFonts w:cstheme="minorHAnsi"/>
        </w:rPr>
      </w:pPr>
      <w:r>
        <w:rPr>
          <w:rFonts w:cstheme="minorHAnsi"/>
        </w:rPr>
        <w:t>Other relief deemed by the Court to be appropriate.</w:t>
      </w:r>
    </w:p>
    <w:p w:rsidR="00E21A58" w:rsidRDefault="00E21A58" w:rsidP="00E21A58">
      <w:pPr>
        <w:autoSpaceDE w:val="0"/>
        <w:autoSpaceDN w:val="0"/>
        <w:adjustRightInd w:val="0"/>
        <w:spacing w:after="0" w:line="240" w:lineRule="auto"/>
        <w:ind w:left="1440"/>
        <w:rPr>
          <w:rFonts w:cstheme="minorHAnsi"/>
        </w:rPr>
      </w:pPr>
    </w:p>
    <w:p w:rsidR="00E21A58" w:rsidRDefault="00E21A58" w:rsidP="001A5F27">
      <w:pPr>
        <w:autoSpaceDE w:val="0"/>
        <w:autoSpaceDN w:val="0"/>
        <w:adjustRightInd w:val="0"/>
        <w:spacing w:after="0" w:line="240" w:lineRule="auto"/>
        <w:ind w:left="1440"/>
        <w:jc w:val="both"/>
        <w:rPr>
          <w:rFonts w:cstheme="minorHAnsi"/>
        </w:rPr>
      </w:pPr>
      <w:r>
        <w:rPr>
          <w:rFonts w:cstheme="minorHAnsi"/>
        </w:rPr>
        <w:t xml:space="preserve">All defendants’ striking out applications </w:t>
      </w:r>
      <w:proofErr w:type="gramStart"/>
      <w:r>
        <w:rPr>
          <w:rFonts w:cstheme="minorHAnsi"/>
        </w:rPr>
        <w:t>have</w:t>
      </w:r>
      <w:proofErr w:type="gramEnd"/>
      <w:r>
        <w:rPr>
          <w:rFonts w:cstheme="minorHAnsi"/>
        </w:rPr>
        <w:t xml:space="preserve"> not been heard pending amongst others the outcome of a Judicial Review Application filed by PKLSB against the 2</w:t>
      </w:r>
      <w:r w:rsidRPr="00E21A58">
        <w:rPr>
          <w:rFonts w:cstheme="minorHAnsi"/>
          <w:vertAlign w:val="superscript"/>
        </w:rPr>
        <w:t>nd</w:t>
      </w:r>
      <w:r>
        <w:rPr>
          <w:rFonts w:cstheme="minorHAnsi"/>
        </w:rPr>
        <w:t xml:space="preserve"> and 3</w:t>
      </w:r>
      <w:r w:rsidRPr="00E21A58">
        <w:rPr>
          <w:rFonts w:cstheme="minorHAnsi"/>
          <w:vertAlign w:val="superscript"/>
        </w:rPr>
        <w:t>rd</w:t>
      </w:r>
      <w:r>
        <w:rPr>
          <w:rFonts w:cstheme="minorHAnsi"/>
        </w:rPr>
        <w:t xml:space="preserve"> Defendants.</w:t>
      </w:r>
      <w:r w:rsidR="0089205C">
        <w:rPr>
          <w:rFonts w:cstheme="minorHAnsi"/>
        </w:rPr>
        <w:t xml:space="preserve"> The </w:t>
      </w:r>
      <w:proofErr w:type="spellStart"/>
      <w:r w:rsidR="0089205C">
        <w:rPr>
          <w:rFonts w:cstheme="minorHAnsi"/>
        </w:rPr>
        <w:t>Judial</w:t>
      </w:r>
      <w:proofErr w:type="spellEnd"/>
      <w:r w:rsidR="0089205C">
        <w:rPr>
          <w:rFonts w:cstheme="minorHAnsi"/>
        </w:rPr>
        <w:t xml:space="preserve"> Review Application is fixed for mention </w:t>
      </w:r>
      <w:r w:rsidR="0089205C" w:rsidRPr="00075970">
        <w:rPr>
          <w:rFonts w:cstheme="minorHAnsi"/>
        </w:rPr>
        <w:t xml:space="preserve">on </w:t>
      </w:r>
      <w:r w:rsidR="00075970" w:rsidRPr="00075970">
        <w:rPr>
          <w:rFonts w:cstheme="minorHAnsi"/>
        </w:rPr>
        <w:t>11 December</w:t>
      </w:r>
      <w:r w:rsidR="0089205C" w:rsidRPr="00075970">
        <w:rPr>
          <w:rFonts w:cstheme="minorHAnsi"/>
        </w:rPr>
        <w:t xml:space="preserve"> 2012</w:t>
      </w:r>
      <w:r w:rsidR="0089205C">
        <w:rPr>
          <w:rFonts w:cstheme="minorHAnsi"/>
        </w:rPr>
        <w:t>.</w:t>
      </w:r>
    </w:p>
    <w:p w:rsidR="000443CC" w:rsidRDefault="000443CC" w:rsidP="001A5F27">
      <w:pPr>
        <w:autoSpaceDE w:val="0"/>
        <w:autoSpaceDN w:val="0"/>
        <w:adjustRightInd w:val="0"/>
        <w:spacing w:after="0" w:line="240" w:lineRule="auto"/>
        <w:ind w:left="1440"/>
        <w:jc w:val="both"/>
        <w:rPr>
          <w:rFonts w:cstheme="minorHAnsi"/>
        </w:rPr>
      </w:pPr>
    </w:p>
    <w:p w:rsidR="000443CC" w:rsidRDefault="000443CC" w:rsidP="001A5F27">
      <w:pPr>
        <w:autoSpaceDE w:val="0"/>
        <w:autoSpaceDN w:val="0"/>
        <w:adjustRightInd w:val="0"/>
        <w:spacing w:after="0" w:line="240" w:lineRule="auto"/>
        <w:ind w:left="1440"/>
        <w:jc w:val="both"/>
        <w:rPr>
          <w:rFonts w:cstheme="minorHAnsi"/>
        </w:rPr>
      </w:pPr>
      <w:r>
        <w:rPr>
          <w:rFonts w:cstheme="minorHAnsi"/>
        </w:rPr>
        <w:t xml:space="preserve">The Group’s </w:t>
      </w:r>
      <w:proofErr w:type="gramStart"/>
      <w:r>
        <w:rPr>
          <w:rFonts w:cstheme="minorHAnsi"/>
        </w:rPr>
        <w:t>solicitors is</w:t>
      </w:r>
      <w:proofErr w:type="gramEnd"/>
      <w:r>
        <w:rPr>
          <w:rFonts w:cstheme="minorHAnsi"/>
        </w:rPr>
        <w:t xml:space="preserve"> of the opinion that the claim action against PMSB is frivolous and is unlikely to succeed as PMSB is merely a contractor appointed by the 6</w:t>
      </w:r>
      <w:r w:rsidRPr="000443CC">
        <w:rPr>
          <w:rFonts w:cstheme="minorHAnsi"/>
          <w:vertAlign w:val="superscript"/>
        </w:rPr>
        <w:t>th</w:t>
      </w:r>
      <w:r>
        <w:rPr>
          <w:rFonts w:cstheme="minorHAnsi"/>
        </w:rPr>
        <w:t xml:space="preserve"> Defendant.</w:t>
      </w:r>
    </w:p>
    <w:p w:rsidR="0089205C" w:rsidRDefault="0089205C" w:rsidP="00E21A58">
      <w:pPr>
        <w:autoSpaceDE w:val="0"/>
        <w:autoSpaceDN w:val="0"/>
        <w:adjustRightInd w:val="0"/>
        <w:spacing w:after="0" w:line="240" w:lineRule="auto"/>
        <w:ind w:left="1440"/>
        <w:rPr>
          <w:rFonts w:cstheme="minorHAnsi"/>
        </w:rPr>
      </w:pPr>
    </w:p>
    <w:p w:rsidR="000443CC" w:rsidRPr="000443CC" w:rsidRDefault="000443CC" w:rsidP="000443CC">
      <w:pPr>
        <w:pStyle w:val="ListParagraph"/>
        <w:numPr>
          <w:ilvl w:val="0"/>
          <w:numId w:val="17"/>
        </w:numPr>
        <w:autoSpaceDE w:val="0"/>
        <w:autoSpaceDN w:val="0"/>
        <w:adjustRightInd w:val="0"/>
        <w:spacing w:after="0" w:line="240" w:lineRule="auto"/>
        <w:rPr>
          <w:rFonts w:cstheme="minorHAnsi"/>
        </w:rPr>
      </w:pPr>
      <w:r>
        <w:rPr>
          <w:rFonts w:cstheme="minorHAnsi"/>
          <w:b/>
          <w:bCs/>
        </w:rPr>
        <w:t xml:space="preserve">PMSB </w:t>
      </w:r>
      <w:proofErr w:type="spellStart"/>
      <w:r>
        <w:rPr>
          <w:rFonts w:cstheme="minorHAnsi"/>
          <w:b/>
          <w:bCs/>
        </w:rPr>
        <w:t>vs</w:t>
      </w:r>
      <w:proofErr w:type="spellEnd"/>
      <w:r>
        <w:rPr>
          <w:rFonts w:cstheme="minorHAnsi"/>
          <w:b/>
          <w:bCs/>
        </w:rPr>
        <w:t xml:space="preserve"> </w:t>
      </w:r>
      <w:proofErr w:type="spellStart"/>
      <w:r>
        <w:rPr>
          <w:rFonts w:cstheme="minorHAnsi"/>
          <w:b/>
          <w:bCs/>
        </w:rPr>
        <w:t>Midaco</w:t>
      </w:r>
      <w:proofErr w:type="spellEnd"/>
      <w:r>
        <w:rPr>
          <w:rFonts w:cstheme="minorHAnsi"/>
          <w:b/>
          <w:bCs/>
        </w:rPr>
        <w:t xml:space="preserve"> (M) </w:t>
      </w:r>
      <w:proofErr w:type="spellStart"/>
      <w:r>
        <w:rPr>
          <w:rFonts w:cstheme="minorHAnsi"/>
          <w:b/>
          <w:bCs/>
        </w:rPr>
        <w:t>Sdn</w:t>
      </w:r>
      <w:proofErr w:type="spellEnd"/>
      <w:r>
        <w:rPr>
          <w:rFonts w:cstheme="minorHAnsi"/>
          <w:b/>
          <w:bCs/>
        </w:rPr>
        <w:t>. Bhd. (“</w:t>
      </w:r>
      <w:proofErr w:type="spellStart"/>
      <w:r>
        <w:rPr>
          <w:rFonts w:cstheme="minorHAnsi"/>
          <w:b/>
          <w:bCs/>
        </w:rPr>
        <w:t>Midaco</w:t>
      </w:r>
      <w:proofErr w:type="spellEnd"/>
      <w:r>
        <w:rPr>
          <w:rFonts w:cstheme="minorHAnsi"/>
          <w:b/>
          <w:bCs/>
        </w:rPr>
        <w:t>”)</w:t>
      </w:r>
    </w:p>
    <w:p w:rsidR="000443CC" w:rsidRDefault="000443CC" w:rsidP="000443CC">
      <w:pPr>
        <w:pStyle w:val="ListParagraph"/>
        <w:autoSpaceDE w:val="0"/>
        <w:autoSpaceDN w:val="0"/>
        <w:adjustRightInd w:val="0"/>
        <w:spacing w:after="0" w:line="240" w:lineRule="auto"/>
        <w:ind w:left="1440"/>
        <w:rPr>
          <w:rFonts w:cstheme="minorHAnsi"/>
          <w:b/>
        </w:rPr>
      </w:pPr>
      <w:r>
        <w:rPr>
          <w:rFonts w:cstheme="minorHAnsi"/>
          <w:b/>
        </w:rPr>
        <w:t xml:space="preserve">Kota </w:t>
      </w:r>
      <w:proofErr w:type="spellStart"/>
      <w:r>
        <w:rPr>
          <w:rFonts w:cstheme="minorHAnsi"/>
          <w:b/>
        </w:rPr>
        <w:t>Bharu</w:t>
      </w:r>
      <w:proofErr w:type="spellEnd"/>
      <w:r>
        <w:rPr>
          <w:rFonts w:cstheme="minorHAnsi"/>
          <w:b/>
        </w:rPr>
        <w:t xml:space="preserve"> High Court Civil No.: 22-52-2011</w:t>
      </w:r>
    </w:p>
    <w:p w:rsidR="000443CC" w:rsidRDefault="000443CC" w:rsidP="000443CC">
      <w:pPr>
        <w:pStyle w:val="ListParagraph"/>
        <w:autoSpaceDE w:val="0"/>
        <w:autoSpaceDN w:val="0"/>
        <w:adjustRightInd w:val="0"/>
        <w:spacing w:after="0" w:line="240" w:lineRule="auto"/>
        <w:ind w:left="1440"/>
        <w:rPr>
          <w:rFonts w:cstheme="minorHAnsi"/>
          <w:b/>
        </w:rPr>
      </w:pPr>
    </w:p>
    <w:p w:rsidR="000443CC" w:rsidRDefault="000443CC" w:rsidP="00987E9F">
      <w:pPr>
        <w:pStyle w:val="ListParagraph"/>
        <w:autoSpaceDE w:val="0"/>
        <w:autoSpaceDN w:val="0"/>
        <w:adjustRightInd w:val="0"/>
        <w:spacing w:after="0" w:line="240" w:lineRule="auto"/>
        <w:ind w:left="1440"/>
        <w:jc w:val="both"/>
        <w:rPr>
          <w:rFonts w:cstheme="minorHAnsi"/>
        </w:rPr>
      </w:pPr>
      <w:r>
        <w:rPr>
          <w:rFonts w:cstheme="minorHAnsi"/>
        </w:rPr>
        <w:t xml:space="preserve">PMSB lodged a claim in the High Court, Kota </w:t>
      </w:r>
      <w:proofErr w:type="spellStart"/>
      <w:r>
        <w:rPr>
          <w:rFonts w:cstheme="minorHAnsi"/>
        </w:rPr>
        <w:t>Bharu</w:t>
      </w:r>
      <w:proofErr w:type="spellEnd"/>
      <w:r>
        <w:rPr>
          <w:rFonts w:cstheme="minorHAnsi"/>
        </w:rPr>
        <w:t xml:space="preserve"> on 15 March 2011. PMSB filed an action against </w:t>
      </w:r>
      <w:proofErr w:type="spellStart"/>
      <w:r>
        <w:rPr>
          <w:rFonts w:cstheme="minorHAnsi"/>
        </w:rPr>
        <w:t>Midaco</w:t>
      </w:r>
      <w:proofErr w:type="spellEnd"/>
      <w:r>
        <w:rPr>
          <w:rFonts w:cstheme="minorHAnsi"/>
        </w:rPr>
        <w:t xml:space="preserve"> for recovery of RM2.0 million, being the sum paid to third party, Omega </w:t>
      </w:r>
      <w:proofErr w:type="spellStart"/>
      <w:r>
        <w:rPr>
          <w:rFonts w:cstheme="minorHAnsi"/>
        </w:rPr>
        <w:t>Concorf</w:t>
      </w:r>
      <w:proofErr w:type="spellEnd"/>
      <w:r>
        <w:rPr>
          <w:rFonts w:cstheme="minorHAnsi"/>
        </w:rPr>
        <w:t xml:space="preserve"> </w:t>
      </w:r>
      <w:proofErr w:type="spellStart"/>
      <w:r>
        <w:rPr>
          <w:rFonts w:cstheme="minorHAnsi"/>
        </w:rPr>
        <w:t>Sdn</w:t>
      </w:r>
      <w:proofErr w:type="spellEnd"/>
      <w:r>
        <w:rPr>
          <w:rFonts w:cstheme="minorHAnsi"/>
        </w:rPr>
        <w:t xml:space="preserve">. Bhd. (“Omega”) for the rectification of the defective works by </w:t>
      </w:r>
      <w:proofErr w:type="spellStart"/>
      <w:r>
        <w:rPr>
          <w:rFonts w:cstheme="minorHAnsi"/>
        </w:rPr>
        <w:t>Midaco</w:t>
      </w:r>
      <w:proofErr w:type="spellEnd"/>
      <w:r w:rsidR="00987E9F">
        <w:rPr>
          <w:rFonts w:cstheme="minorHAnsi"/>
        </w:rPr>
        <w:t>.</w:t>
      </w:r>
    </w:p>
    <w:p w:rsidR="00987E9F" w:rsidRDefault="00987E9F" w:rsidP="00987E9F">
      <w:pPr>
        <w:pStyle w:val="ListParagraph"/>
        <w:autoSpaceDE w:val="0"/>
        <w:autoSpaceDN w:val="0"/>
        <w:adjustRightInd w:val="0"/>
        <w:spacing w:after="0" w:line="240" w:lineRule="auto"/>
        <w:ind w:left="1440"/>
        <w:jc w:val="both"/>
        <w:rPr>
          <w:rFonts w:cstheme="minorHAnsi"/>
        </w:rPr>
      </w:pPr>
    </w:p>
    <w:p w:rsidR="00987E9F" w:rsidRDefault="00987E9F" w:rsidP="00987E9F">
      <w:pPr>
        <w:autoSpaceDE w:val="0"/>
        <w:autoSpaceDN w:val="0"/>
        <w:adjustRightInd w:val="0"/>
        <w:spacing w:after="0" w:line="240" w:lineRule="auto"/>
        <w:jc w:val="both"/>
        <w:rPr>
          <w:rFonts w:cstheme="minorHAnsi"/>
        </w:rPr>
      </w:pPr>
      <w:r>
        <w:rPr>
          <w:rFonts w:cstheme="minorHAnsi"/>
        </w:rPr>
        <w:tab/>
      </w:r>
      <w:r>
        <w:rPr>
          <w:rFonts w:cstheme="minorHAnsi"/>
        </w:rPr>
        <w:tab/>
        <w:t xml:space="preserve">The case is pending in the Kota </w:t>
      </w:r>
      <w:proofErr w:type="spellStart"/>
      <w:r>
        <w:rPr>
          <w:rFonts w:cstheme="minorHAnsi"/>
        </w:rPr>
        <w:t>Bharu</w:t>
      </w:r>
      <w:proofErr w:type="spellEnd"/>
      <w:r>
        <w:rPr>
          <w:rFonts w:cstheme="minorHAnsi"/>
        </w:rPr>
        <w:t xml:space="preserve"> High Court for parties to proceed for trial.</w:t>
      </w:r>
    </w:p>
    <w:p w:rsidR="00987E9F" w:rsidRPr="00987E9F" w:rsidRDefault="00987E9F" w:rsidP="00987E9F">
      <w:pPr>
        <w:autoSpaceDE w:val="0"/>
        <w:autoSpaceDN w:val="0"/>
        <w:adjustRightInd w:val="0"/>
        <w:spacing w:after="0" w:line="240" w:lineRule="auto"/>
        <w:jc w:val="both"/>
        <w:rPr>
          <w:rFonts w:cstheme="minorHAnsi"/>
        </w:rPr>
      </w:pPr>
    </w:p>
    <w:p w:rsidR="00987E9F" w:rsidRPr="000443CC" w:rsidRDefault="00987E9F" w:rsidP="000443CC">
      <w:pPr>
        <w:pStyle w:val="ListParagraph"/>
        <w:autoSpaceDE w:val="0"/>
        <w:autoSpaceDN w:val="0"/>
        <w:adjustRightInd w:val="0"/>
        <w:spacing w:after="0" w:line="240" w:lineRule="auto"/>
        <w:ind w:left="1440"/>
        <w:rPr>
          <w:rFonts w:cstheme="minorHAnsi"/>
        </w:rPr>
      </w:pPr>
    </w:p>
    <w:p w:rsidR="00987E9F" w:rsidRPr="002F1C6E" w:rsidRDefault="00987E9F" w:rsidP="00987E9F">
      <w:pPr>
        <w:pBdr>
          <w:bottom w:val="single" w:sz="6" w:space="1" w:color="auto"/>
        </w:pBdr>
        <w:rPr>
          <w:rFonts w:ascii="Arial" w:hAnsi="Arial" w:cs="Arial"/>
          <w:b/>
          <w:sz w:val="20"/>
          <w:szCs w:val="20"/>
        </w:rPr>
      </w:pPr>
      <w:r w:rsidRPr="002F1C6E">
        <w:rPr>
          <w:rFonts w:ascii="Arial" w:hAnsi="Arial" w:cs="Arial"/>
          <w:b/>
          <w:sz w:val="24"/>
          <w:szCs w:val="24"/>
        </w:rPr>
        <w:lastRenderedPageBreak/>
        <w:t xml:space="preserve">PESONA METRO HOLDINGS BERHAD </w:t>
      </w:r>
      <w:r w:rsidRPr="002F1C6E">
        <w:rPr>
          <w:rFonts w:ascii="Arial" w:hAnsi="Arial" w:cs="Arial"/>
          <w:b/>
          <w:sz w:val="20"/>
          <w:szCs w:val="20"/>
        </w:rPr>
        <w:t>(Co. No. 957876-T)</w:t>
      </w:r>
    </w:p>
    <w:p w:rsidR="00987E9F" w:rsidRDefault="00987E9F" w:rsidP="00987E9F">
      <w:pPr>
        <w:pStyle w:val="NoSpacing"/>
        <w:ind w:left="720" w:hanging="720"/>
        <w:rPr>
          <w:b/>
        </w:rPr>
      </w:pPr>
      <w:r>
        <w:rPr>
          <w:b/>
        </w:rPr>
        <w:t>B</w:t>
      </w:r>
      <w:r w:rsidRPr="00177BA4">
        <w:rPr>
          <w:b/>
        </w:rPr>
        <w:t>.</w:t>
      </w:r>
      <w:r>
        <w:rPr>
          <w:b/>
        </w:rPr>
        <w:tab/>
        <w:t>EXPLANATORY NOTES PURSUANT TO PARAGRAPH 9.22 AMD PART A OF APPENDIX 9B OF THE LISTING REQUIREMENT OF BURSA SECURITIES</w:t>
      </w:r>
    </w:p>
    <w:p w:rsidR="000443CC" w:rsidRPr="000443CC" w:rsidRDefault="000443CC" w:rsidP="000443CC">
      <w:pPr>
        <w:autoSpaceDE w:val="0"/>
        <w:autoSpaceDN w:val="0"/>
        <w:adjustRightInd w:val="0"/>
        <w:spacing w:after="0" w:line="240" w:lineRule="auto"/>
        <w:ind w:left="1440"/>
        <w:rPr>
          <w:rFonts w:cstheme="minorHAnsi"/>
        </w:rPr>
      </w:pPr>
    </w:p>
    <w:p w:rsidR="00D208FE" w:rsidRDefault="00987E9F" w:rsidP="00D208FE">
      <w:pPr>
        <w:autoSpaceDE w:val="0"/>
        <w:autoSpaceDN w:val="0"/>
        <w:adjustRightInd w:val="0"/>
        <w:spacing w:after="0" w:line="240" w:lineRule="auto"/>
        <w:rPr>
          <w:rFonts w:cstheme="minorHAnsi"/>
          <w:b/>
          <w:bCs/>
        </w:rPr>
      </w:pPr>
      <w:r>
        <w:rPr>
          <w:rFonts w:cstheme="minorHAnsi"/>
          <w:b/>
          <w:bCs/>
        </w:rPr>
        <w:t>B11</w:t>
      </w:r>
      <w:r w:rsidR="00627F38" w:rsidRPr="00627F38">
        <w:rPr>
          <w:rFonts w:cstheme="minorHAnsi"/>
          <w:b/>
          <w:bCs/>
        </w:rPr>
        <w:t>.</w:t>
      </w:r>
      <w:r w:rsidR="00627F38" w:rsidRPr="00627F38">
        <w:rPr>
          <w:rFonts w:cstheme="minorHAnsi"/>
          <w:b/>
          <w:bCs/>
        </w:rPr>
        <w:tab/>
      </w:r>
      <w:r w:rsidR="00D208FE" w:rsidRPr="00627F38">
        <w:rPr>
          <w:rFonts w:cstheme="minorHAnsi"/>
          <w:b/>
          <w:bCs/>
        </w:rPr>
        <w:t>Dividend</w:t>
      </w:r>
    </w:p>
    <w:p w:rsidR="00987E9F" w:rsidRDefault="00987E9F" w:rsidP="00D208FE">
      <w:pPr>
        <w:autoSpaceDE w:val="0"/>
        <w:autoSpaceDN w:val="0"/>
        <w:adjustRightInd w:val="0"/>
        <w:spacing w:after="0" w:line="240" w:lineRule="auto"/>
        <w:rPr>
          <w:rFonts w:cstheme="minorHAnsi"/>
          <w:b/>
          <w:bCs/>
        </w:rPr>
      </w:pPr>
    </w:p>
    <w:p w:rsidR="00987E9F" w:rsidRPr="00987E9F" w:rsidRDefault="00987E9F" w:rsidP="00D208FE">
      <w:pPr>
        <w:autoSpaceDE w:val="0"/>
        <w:autoSpaceDN w:val="0"/>
        <w:adjustRightInd w:val="0"/>
        <w:spacing w:after="0" w:line="240" w:lineRule="auto"/>
        <w:rPr>
          <w:rFonts w:cstheme="minorHAnsi"/>
          <w:bCs/>
        </w:rPr>
      </w:pPr>
      <w:r>
        <w:rPr>
          <w:rFonts w:cstheme="minorHAnsi"/>
          <w:b/>
          <w:bCs/>
        </w:rPr>
        <w:tab/>
      </w:r>
      <w:r>
        <w:rPr>
          <w:rFonts w:cstheme="minorHAnsi"/>
          <w:bCs/>
        </w:rPr>
        <w:t>No dividend has been proposed during the quarter under review.</w:t>
      </w:r>
    </w:p>
    <w:p w:rsidR="00627F38" w:rsidRPr="00627F38" w:rsidRDefault="00627F38" w:rsidP="00D208FE">
      <w:pPr>
        <w:autoSpaceDE w:val="0"/>
        <w:autoSpaceDN w:val="0"/>
        <w:adjustRightInd w:val="0"/>
        <w:spacing w:after="0" w:line="240" w:lineRule="auto"/>
        <w:rPr>
          <w:rFonts w:cstheme="minorHAnsi"/>
          <w:b/>
          <w:bCs/>
        </w:rPr>
      </w:pPr>
    </w:p>
    <w:p w:rsidR="00D208FE" w:rsidRDefault="00627F38" w:rsidP="00D208FE">
      <w:pPr>
        <w:autoSpaceDE w:val="0"/>
        <w:autoSpaceDN w:val="0"/>
        <w:adjustRightInd w:val="0"/>
        <w:spacing w:after="0" w:line="240" w:lineRule="auto"/>
        <w:rPr>
          <w:rFonts w:cstheme="minorHAnsi"/>
          <w:b/>
          <w:bCs/>
        </w:rPr>
      </w:pPr>
      <w:r w:rsidRPr="00627F38">
        <w:rPr>
          <w:rFonts w:cstheme="minorHAnsi"/>
          <w:b/>
          <w:bCs/>
        </w:rPr>
        <w:t>B1</w:t>
      </w:r>
      <w:r w:rsidR="00987E9F">
        <w:rPr>
          <w:rFonts w:cstheme="minorHAnsi"/>
          <w:b/>
          <w:bCs/>
        </w:rPr>
        <w:t>2</w:t>
      </w:r>
      <w:r w:rsidRPr="00627F38">
        <w:rPr>
          <w:rFonts w:cstheme="minorHAnsi"/>
          <w:b/>
          <w:bCs/>
        </w:rPr>
        <w:t>.</w:t>
      </w:r>
      <w:r w:rsidRPr="00627F38">
        <w:rPr>
          <w:rFonts w:cstheme="minorHAnsi"/>
          <w:b/>
          <w:bCs/>
        </w:rPr>
        <w:tab/>
      </w:r>
      <w:r w:rsidR="00432439">
        <w:rPr>
          <w:rFonts w:cstheme="minorHAnsi"/>
          <w:b/>
          <w:bCs/>
        </w:rPr>
        <w:t>Earnings p</w:t>
      </w:r>
      <w:r w:rsidR="00D208FE" w:rsidRPr="00627F38">
        <w:rPr>
          <w:rFonts w:cstheme="minorHAnsi"/>
          <w:b/>
          <w:bCs/>
        </w:rPr>
        <w:t>er Share</w:t>
      </w:r>
    </w:p>
    <w:p w:rsidR="00987E9F" w:rsidRDefault="00987E9F" w:rsidP="00D208FE">
      <w:pPr>
        <w:autoSpaceDE w:val="0"/>
        <w:autoSpaceDN w:val="0"/>
        <w:adjustRightInd w:val="0"/>
        <w:spacing w:after="0" w:line="240" w:lineRule="auto"/>
        <w:rPr>
          <w:rFonts w:cstheme="minorHAnsi"/>
          <w:b/>
          <w:bCs/>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1641"/>
        <w:gridCol w:w="1421"/>
      </w:tblGrid>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987E9F" w:rsidP="00AF7A58">
            <w:pPr>
              <w:pStyle w:val="NoSpacing"/>
              <w:jc w:val="right"/>
            </w:pPr>
            <w:r w:rsidRPr="00BB5EBB">
              <w:t>Current</w:t>
            </w:r>
          </w:p>
        </w:tc>
        <w:tc>
          <w:tcPr>
            <w:tcW w:w="1421" w:type="dxa"/>
          </w:tcPr>
          <w:p w:rsidR="00987E9F" w:rsidRPr="00BB5EBB" w:rsidRDefault="00987E9F" w:rsidP="00AF7A58">
            <w:pPr>
              <w:pStyle w:val="NoSpacing"/>
              <w:jc w:val="right"/>
            </w:pPr>
            <w:r>
              <w:t>Current</w:t>
            </w:r>
          </w:p>
        </w:tc>
      </w:tr>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4C2064" w:rsidRDefault="00987E9F" w:rsidP="00AF7A58">
            <w:pPr>
              <w:pStyle w:val="NoSpacing"/>
              <w:jc w:val="right"/>
            </w:pPr>
            <w:r w:rsidRPr="004C2064">
              <w:t>Year</w:t>
            </w:r>
          </w:p>
          <w:p w:rsidR="00987E9F" w:rsidRPr="00BB5EBB" w:rsidRDefault="00987E9F" w:rsidP="00AF7A58">
            <w:pPr>
              <w:pStyle w:val="NoSpacing"/>
              <w:jc w:val="right"/>
            </w:pPr>
            <w:r w:rsidRPr="004C2064">
              <w:t>Quarter</w:t>
            </w:r>
          </w:p>
        </w:tc>
        <w:tc>
          <w:tcPr>
            <w:tcW w:w="1421" w:type="dxa"/>
          </w:tcPr>
          <w:p w:rsidR="00987E9F" w:rsidRDefault="00987E9F" w:rsidP="00AF7A58">
            <w:pPr>
              <w:pStyle w:val="NoSpacing"/>
              <w:jc w:val="right"/>
            </w:pPr>
            <w:r w:rsidRPr="00BB5EBB">
              <w:t xml:space="preserve">Year </w:t>
            </w:r>
          </w:p>
          <w:p w:rsidR="00987E9F" w:rsidRPr="00BB5EBB" w:rsidRDefault="00987E9F" w:rsidP="00AF7A58">
            <w:pPr>
              <w:pStyle w:val="NoSpacing"/>
              <w:jc w:val="right"/>
            </w:pPr>
            <w:r>
              <w:t>T</w:t>
            </w:r>
            <w:r w:rsidRPr="00BB5EBB">
              <w:t>o date</w:t>
            </w:r>
          </w:p>
        </w:tc>
      </w:tr>
      <w:tr w:rsidR="00987E9F" w:rsidRPr="00BB5EBB"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Pr="00BB5EBB" w:rsidRDefault="00987E9F" w:rsidP="00AF7A58">
            <w:pPr>
              <w:pStyle w:val="NoSpacing"/>
              <w:jc w:val="right"/>
            </w:pPr>
            <w:r w:rsidRPr="00BB5EBB">
              <w:t>30.9.2012</w:t>
            </w:r>
          </w:p>
        </w:tc>
        <w:tc>
          <w:tcPr>
            <w:tcW w:w="1421" w:type="dxa"/>
          </w:tcPr>
          <w:p w:rsidR="00987E9F" w:rsidRPr="00BB5EBB" w:rsidRDefault="00987E9F" w:rsidP="00AF7A58">
            <w:pPr>
              <w:pStyle w:val="NoSpacing"/>
              <w:jc w:val="right"/>
            </w:pPr>
            <w:r>
              <w:t>30.9.2012</w:t>
            </w:r>
          </w:p>
        </w:tc>
      </w:tr>
      <w:tr w:rsidR="00987E9F"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Default="00987E9F" w:rsidP="00AF7A58">
            <w:pPr>
              <w:autoSpaceDE w:val="0"/>
              <w:autoSpaceDN w:val="0"/>
              <w:adjustRightInd w:val="0"/>
              <w:jc w:val="right"/>
              <w:rPr>
                <w:rFonts w:cstheme="minorHAnsi"/>
                <w:bCs/>
              </w:rPr>
            </w:pPr>
          </w:p>
        </w:tc>
        <w:tc>
          <w:tcPr>
            <w:tcW w:w="1421" w:type="dxa"/>
          </w:tcPr>
          <w:p w:rsidR="00987E9F" w:rsidRDefault="00987E9F" w:rsidP="00AF7A58">
            <w:pPr>
              <w:autoSpaceDE w:val="0"/>
              <w:autoSpaceDN w:val="0"/>
              <w:adjustRightInd w:val="0"/>
              <w:jc w:val="right"/>
              <w:rPr>
                <w:rFonts w:cstheme="minorHAnsi"/>
                <w:bCs/>
              </w:rPr>
            </w:pPr>
          </w:p>
        </w:tc>
      </w:tr>
      <w:tr w:rsidR="00987E9F" w:rsidTr="00AF7A58">
        <w:tc>
          <w:tcPr>
            <w:tcW w:w="5776" w:type="dxa"/>
          </w:tcPr>
          <w:p w:rsidR="00987E9F" w:rsidRPr="00BB5EBB" w:rsidRDefault="00987E9F" w:rsidP="00AF7A58">
            <w:pPr>
              <w:autoSpaceDE w:val="0"/>
              <w:autoSpaceDN w:val="0"/>
              <w:adjustRightInd w:val="0"/>
              <w:rPr>
                <w:rFonts w:cstheme="minorHAnsi"/>
                <w:bCs/>
              </w:rPr>
            </w:pPr>
            <w:r>
              <w:rPr>
                <w:rFonts w:cstheme="minorHAnsi"/>
                <w:bCs/>
              </w:rPr>
              <w:t>(Loss)/Profit for the period (RM’000)</w:t>
            </w:r>
          </w:p>
        </w:tc>
        <w:tc>
          <w:tcPr>
            <w:tcW w:w="1641" w:type="dxa"/>
          </w:tcPr>
          <w:p w:rsidR="00987E9F" w:rsidRDefault="00987E9F" w:rsidP="00AF7A58">
            <w:pPr>
              <w:autoSpaceDE w:val="0"/>
              <w:autoSpaceDN w:val="0"/>
              <w:adjustRightInd w:val="0"/>
              <w:jc w:val="right"/>
              <w:rPr>
                <w:rFonts w:cstheme="minorHAnsi"/>
                <w:bCs/>
              </w:rPr>
            </w:pPr>
            <w:r>
              <w:rPr>
                <w:rFonts w:cstheme="minorHAnsi"/>
                <w:bCs/>
              </w:rPr>
              <w:t>(638)</w:t>
            </w:r>
          </w:p>
        </w:tc>
        <w:tc>
          <w:tcPr>
            <w:tcW w:w="1421" w:type="dxa"/>
          </w:tcPr>
          <w:p w:rsidR="00987E9F" w:rsidRDefault="00987E9F" w:rsidP="00AF7A58">
            <w:pPr>
              <w:autoSpaceDE w:val="0"/>
              <w:autoSpaceDN w:val="0"/>
              <w:adjustRightInd w:val="0"/>
              <w:jc w:val="right"/>
              <w:rPr>
                <w:rFonts w:cstheme="minorHAnsi"/>
                <w:bCs/>
              </w:rPr>
            </w:pPr>
            <w:r>
              <w:rPr>
                <w:rFonts w:cstheme="minorHAnsi"/>
                <w:bCs/>
              </w:rPr>
              <w:t>9,941</w:t>
            </w:r>
          </w:p>
        </w:tc>
      </w:tr>
      <w:tr w:rsidR="00987E9F" w:rsidTr="00AF7A58">
        <w:tc>
          <w:tcPr>
            <w:tcW w:w="5776" w:type="dxa"/>
          </w:tcPr>
          <w:p w:rsidR="00987E9F" w:rsidRDefault="00987E9F" w:rsidP="00AF7A58">
            <w:pPr>
              <w:autoSpaceDE w:val="0"/>
              <w:autoSpaceDN w:val="0"/>
              <w:adjustRightInd w:val="0"/>
              <w:rPr>
                <w:rFonts w:cstheme="minorHAnsi"/>
                <w:bCs/>
              </w:rPr>
            </w:pPr>
          </w:p>
        </w:tc>
        <w:tc>
          <w:tcPr>
            <w:tcW w:w="1641" w:type="dxa"/>
          </w:tcPr>
          <w:p w:rsidR="00987E9F" w:rsidRDefault="00987E9F" w:rsidP="00AF7A58">
            <w:pPr>
              <w:autoSpaceDE w:val="0"/>
              <w:autoSpaceDN w:val="0"/>
              <w:adjustRightInd w:val="0"/>
              <w:jc w:val="right"/>
              <w:rPr>
                <w:rFonts w:cstheme="minorHAnsi"/>
                <w:bCs/>
              </w:rPr>
            </w:pPr>
          </w:p>
        </w:tc>
        <w:tc>
          <w:tcPr>
            <w:tcW w:w="1421" w:type="dxa"/>
          </w:tcPr>
          <w:p w:rsidR="00987E9F" w:rsidRDefault="00987E9F" w:rsidP="00AF7A58">
            <w:pPr>
              <w:autoSpaceDE w:val="0"/>
              <w:autoSpaceDN w:val="0"/>
              <w:adjustRightInd w:val="0"/>
              <w:jc w:val="right"/>
              <w:rPr>
                <w:rFonts w:cstheme="minorHAnsi"/>
                <w:bCs/>
              </w:rPr>
            </w:pPr>
          </w:p>
        </w:tc>
      </w:tr>
      <w:tr w:rsidR="00987E9F" w:rsidTr="001C2515">
        <w:trPr>
          <w:trHeight w:val="198"/>
        </w:trPr>
        <w:tc>
          <w:tcPr>
            <w:tcW w:w="5776" w:type="dxa"/>
          </w:tcPr>
          <w:p w:rsidR="00987E9F" w:rsidRDefault="001C2515" w:rsidP="00AF7A58">
            <w:pPr>
              <w:autoSpaceDE w:val="0"/>
              <w:autoSpaceDN w:val="0"/>
              <w:adjustRightInd w:val="0"/>
              <w:rPr>
                <w:rFonts w:cstheme="minorHAnsi"/>
                <w:bCs/>
              </w:rPr>
            </w:pPr>
            <w:r>
              <w:rPr>
                <w:rFonts w:cstheme="minorHAnsi"/>
                <w:bCs/>
              </w:rPr>
              <w:t>Weighted average number of ordinary shares in issue (‘000)</w:t>
            </w:r>
          </w:p>
        </w:tc>
        <w:tc>
          <w:tcPr>
            <w:tcW w:w="1641" w:type="dxa"/>
          </w:tcPr>
          <w:p w:rsidR="00987E9F" w:rsidRDefault="001C2515" w:rsidP="00AF7A58">
            <w:pPr>
              <w:autoSpaceDE w:val="0"/>
              <w:autoSpaceDN w:val="0"/>
              <w:adjustRightInd w:val="0"/>
              <w:jc w:val="right"/>
              <w:rPr>
                <w:rFonts w:cstheme="minorHAnsi"/>
                <w:bCs/>
              </w:rPr>
            </w:pPr>
            <w:r>
              <w:rPr>
                <w:rFonts w:cstheme="minorHAnsi"/>
                <w:bCs/>
              </w:rPr>
              <w:t>463,820</w:t>
            </w:r>
          </w:p>
        </w:tc>
        <w:tc>
          <w:tcPr>
            <w:tcW w:w="1421" w:type="dxa"/>
          </w:tcPr>
          <w:p w:rsidR="00987E9F" w:rsidRDefault="001C2515" w:rsidP="00AF7A58">
            <w:pPr>
              <w:autoSpaceDE w:val="0"/>
              <w:autoSpaceDN w:val="0"/>
              <w:adjustRightInd w:val="0"/>
              <w:jc w:val="right"/>
              <w:rPr>
                <w:rFonts w:cstheme="minorHAnsi"/>
                <w:bCs/>
              </w:rPr>
            </w:pPr>
            <w:r>
              <w:rPr>
                <w:rFonts w:cstheme="minorHAnsi"/>
                <w:bCs/>
              </w:rPr>
              <w:t>463,820</w:t>
            </w:r>
          </w:p>
        </w:tc>
      </w:tr>
      <w:tr w:rsidR="001C2515" w:rsidTr="001C2515">
        <w:trPr>
          <w:trHeight w:val="198"/>
        </w:trPr>
        <w:tc>
          <w:tcPr>
            <w:tcW w:w="5776" w:type="dxa"/>
          </w:tcPr>
          <w:p w:rsidR="001C2515" w:rsidRDefault="001C2515" w:rsidP="00AF7A58">
            <w:pPr>
              <w:autoSpaceDE w:val="0"/>
              <w:autoSpaceDN w:val="0"/>
              <w:adjustRightInd w:val="0"/>
              <w:rPr>
                <w:rFonts w:cstheme="minorHAnsi"/>
                <w:bCs/>
              </w:rPr>
            </w:pPr>
          </w:p>
        </w:tc>
        <w:tc>
          <w:tcPr>
            <w:tcW w:w="1641" w:type="dxa"/>
          </w:tcPr>
          <w:p w:rsidR="001C2515" w:rsidRDefault="001C2515" w:rsidP="00AF7A58">
            <w:pPr>
              <w:autoSpaceDE w:val="0"/>
              <w:autoSpaceDN w:val="0"/>
              <w:adjustRightInd w:val="0"/>
              <w:jc w:val="right"/>
              <w:rPr>
                <w:rFonts w:cstheme="minorHAnsi"/>
                <w:bCs/>
              </w:rPr>
            </w:pPr>
          </w:p>
        </w:tc>
        <w:tc>
          <w:tcPr>
            <w:tcW w:w="1421" w:type="dxa"/>
          </w:tcPr>
          <w:p w:rsidR="001C2515" w:rsidRDefault="001C2515" w:rsidP="00AF7A58">
            <w:pPr>
              <w:autoSpaceDE w:val="0"/>
              <w:autoSpaceDN w:val="0"/>
              <w:adjustRightInd w:val="0"/>
              <w:jc w:val="right"/>
              <w:rPr>
                <w:rFonts w:cstheme="minorHAnsi"/>
                <w:bCs/>
              </w:rPr>
            </w:pPr>
          </w:p>
        </w:tc>
      </w:tr>
      <w:tr w:rsidR="001C2515" w:rsidTr="001C2515">
        <w:trPr>
          <w:trHeight w:val="198"/>
        </w:trPr>
        <w:tc>
          <w:tcPr>
            <w:tcW w:w="5776" w:type="dxa"/>
          </w:tcPr>
          <w:p w:rsidR="001C2515" w:rsidRDefault="001C2515" w:rsidP="00AF7A58">
            <w:pPr>
              <w:autoSpaceDE w:val="0"/>
              <w:autoSpaceDN w:val="0"/>
              <w:adjustRightInd w:val="0"/>
              <w:rPr>
                <w:rFonts w:cstheme="minorHAnsi"/>
                <w:bCs/>
              </w:rPr>
            </w:pPr>
            <w:r>
              <w:rPr>
                <w:rFonts w:cstheme="minorHAnsi"/>
                <w:bCs/>
              </w:rPr>
              <w:t>Basic (loss)/earnings per share (</w:t>
            </w:r>
            <w:proofErr w:type="spellStart"/>
            <w:r>
              <w:rPr>
                <w:rFonts w:cstheme="minorHAnsi"/>
                <w:bCs/>
              </w:rPr>
              <w:t>sen</w:t>
            </w:r>
            <w:proofErr w:type="spellEnd"/>
            <w:r>
              <w:rPr>
                <w:rFonts w:cstheme="minorHAnsi"/>
                <w:bCs/>
              </w:rPr>
              <w:t>)</w:t>
            </w:r>
          </w:p>
        </w:tc>
        <w:tc>
          <w:tcPr>
            <w:tcW w:w="1641" w:type="dxa"/>
          </w:tcPr>
          <w:p w:rsidR="001C2515" w:rsidRDefault="001C2515" w:rsidP="00AF7A58">
            <w:pPr>
              <w:autoSpaceDE w:val="0"/>
              <w:autoSpaceDN w:val="0"/>
              <w:adjustRightInd w:val="0"/>
              <w:jc w:val="right"/>
              <w:rPr>
                <w:rFonts w:cstheme="minorHAnsi"/>
                <w:bCs/>
              </w:rPr>
            </w:pPr>
            <w:r>
              <w:rPr>
                <w:rFonts w:cstheme="minorHAnsi"/>
                <w:bCs/>
              </w:rPr>
              <w:t>(0.14)</w:t>
            </w:r>
          </w:p>
        </w:tc>
        <w:tc>
          <w:tcPr>
            <w:tcW w:w="1421" w:type="dxa"/>
          </w:tcPr>
          <w:p w:rsidR="001C2515" w:rsidRDefault="001C2515" w:rsidP="00AF7A58">
            <w:pPr>
              <w:autoSpaceDE w:val="0"/>
              <w:autoSpaceDN w:val="0"/>
              <w:adjustRightInd w:val="0"/>
              <w:jc w:val="right"/>
              <w:rPr>
                <w:rFonts w:cstheme="minorHAnsi"/>
                <w:bCs/>
              </w:rPr>
            </w:pPr>
            <w:r>
              <w:rPr>
                <w:rFonts w:cstheme="minorHAnsi"/>
                <w:bCs/>
              </w:rPr>
              <w:t>2.14</w:t>
            </w:r>
          </w:p>
        </w:tc>
      </w:tr>
    </w:tbl>
    <w:p w:rsidR="00987E9F" w:rsidRPr="00627F38" w:rsidRDefault="00987E9F" w:rsidP="00D208FE">
      <w:pPr>
        <w:autoSpaceDE w:val="0"/>
        <w:autoSpaceDN w:val="0"/>
        <w:adjustRightInd w:val="0"/>
        <w:spacing w:after="0" w:line="240" w:lineRule="auto"/>
        <w:rPr>
          <w:rFonts w:cstheme="minorHAnsi"/>
          <w:b/>
          <w:bCs/>
        </w:rPr>
      </w:pPr>
    </w:p>
    <w:p w:rsidR="00627F38" w:rsidRDefault="00987E9F" w:rsidP="00D208FE">
      <w:pPr>
        <w:autoSpaceDE w:val="0"/>
        <w:autoSpaceDN w:val="0"/>
        <w:adjustRightInd w:val="0"/>
        <w:spacing w:after="0" w:line="240" w:lineRule="auto"/>
        <w:rPr>
          <w:rFonts w:cstheme="minorHAnsi"/>
          <w:b/>
          <w:bCs/>
        </w:rPr>
      </w:pPr>
      <w:r w:rsidRPr="00627F38">
        <w:rPr>
          <w:rFonts w:cstheme="minorHAnsi"/>
          <w:b/>
          <w:bCs/>
        </w:rPr>
        <w:t>B1</w:t>
      </w:r>
      <w:r w:rsidR="00CF74CB">
        <w:rPr>
          <w:rFonts w:cstheme="minorHAnsi"/>
          <w:b/>
          <w:bCs/>
        </w:rPr>
        <w:t>3</w:t>
      </w:r>
      <w:r w:rsidRPr="00627F38">
        <w:rPr>
          <w:rFonts w:cstheme="minorHAnsi"/>
          <w:b/>
          <w:bCs/>
        </w:rPr>
        <w:t>.</w:t>
      </w:r>
      <w:r w:rsidRPr="00627F38">
        <w:rPr>
          <w:rFonts w:cstheme="minorHAnsi"/>
          <w:b/>
          <w:bCs/>
        </w:rPr>
        <w:tab/>
      </w:r>
      <w:proofErr w:type="spellStart"/>
      <w:r w:rsidRPr="00627F38">
        <w:rPr>
          <w:rFonts w:cstheme="minorHAnsi"/>
          <w:b/>
          <w:bCs/>
        </w:rPr>
        <w:t>Realised</w:t>
      </w:r>
      <w:proofErr w:type="spellEnd"/>
      <w:r w:rsidRPr="00627F38">
        <w:rPr>
          <w:rFonts w:cstheme="minorHAnsi"/>
          <w:b/>
          <w:bCs/>
        </w:rPr>
        <w:t xml:space="preserve"> and </w:t>
      </w:r>
      <w:proofErr w:type="spellStart"/>
      <w:r w:rsidRPr="00627F38">
        <w:rPr>
          <w:rFonts w:cstheme="minorHAnsi"/>
          <w:b/>
          <w:bCs/>
        </w:rPr>
        <w:t>unrealised</w:t>
      </w:r>
      <w:proofErr w:type="spellEnd"/>
      <w:r w:rsidRPr="00627F38">
        <w:rPr>
          <w:rFonts w:cstheme="minorHAnsi"/>
          <w:b/>
          <w:bCs/>
        </w:rPr>
        <w:t xml:space="preserve"> earnings or losses disclosure</w:t>
      </w:r>
    </w:p>
    <w:p w:rsidR="00CF74CB" w:rsidRPr="00627F38" w:rsidRDefault="00CF74CB" w:rsidP="00D208FE">
      <w:pPr>
        <w:autoSpaceDE w:val="0"/>
        <w:autoSpaceDN w:val="0"/>
        <w:adjustRightInd w:val="0"/>
        <w:spacing w:after="0" w:line="240" w:lineRule="auto"/>
        <w:rPr>
          <w:rFonts w:cstheme="minorHAnsi"/>
        </w:rPr>
      </w:pPr>
      <w:r>
        <w:rPr>
          <w:rFonts w:cstheme="minorHAnsi"/>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gridCol w:w="1108"/>
      </w:tblGrid>
      <w:tr w:rsidR="00CF74CB" w:rsidTr="00AF7A58">
        <w:tc>
          <w:tcPr>
            <w:tcW w:w="7730" w:type="dxa"/>
          </w:tcPr>
          <w:p w:rsidR="00CF74CB" w:rsidRDefault="00CF74CB" w:rsidP="00AF7A58">
            <w:pPr>
              <w:autoSpaceDE w:val="0"/>
              <w:autoSpaceDN w:val="0"/>
              <w:adjustRightInd w:val="0"/>
              <w:rPr>
                <w:rFonts w:cstheme="minorHAnsi"/>
                <w:bCs/>
              </w:rPr>
            </w:pPr>
          </w:p>
        </w:tc>
        <w:tc>
          <w:tcPr>
            <w:tcW w:w="1108" w:type="dxa"/>
          </w:tcPr>
          <w:p w:rsidR="00CF74CB" w:rsidRDefault="00CF74CB" w:rsidP="00AF7A58">
            <w:pPr>
              <w:autoSpaceDE w:val="0"/>
              <w:autoSpaceDN w:val="0"/>
              <w:adjustRightInd w:val="0"/>
              <w:jc w:val="right"/>
              <w:rPr>
                <w:rFonts w:cstheme="minorHAnsi"/>
                <w:bCs/>
              </w:rPr>
            </w:pPr>
            <w:r>
              <w:rPr>
                <w:rFonts w:cstheme="minorHAnsi"/>
                <w:bCs/>
              </w:rPr>
              <w:t>As at</w:t>
            </w:r>
          </w:p>
        </w:tc>
      </w:tr>
      <w:tr w:rsidR="00CF74CB" w:rsidTr="00AF7A58">
        <w:tc>
          <w:tcPr>
            <w:tcW w:w="7730" w:type="dxa"/>
          </w:tcPr>
          <w:p w:rsidR="00CF74CB" w:rsidRDefault="00CF74CB" w:rsidP="00AF7A58">
            <w:pPr>
              <w:autoSpaceDE w:val="0"/>
              <w:autoSpaceDN w:val="0"/>
              <w:adjustRightInd w:val="0"/>
              <w:rPr>
                <w:rFonts w:cstheme="minorHAnsi"/>
                <w:bCs/>
              </w:rPr>
            </w:pPr>
          </w:p>
        </w:tc>
        <w:tc>
          <w:tcPr>
            <w:tcW w:w="1108" w:type="dxa"/>
          </w:tcPr>
          <w:p w:rsidR="00CF74CB" w:rsidRDefault="00CF74CB" w:rsidP="00AF7A58">
            <w:pPr>
              <w:autoSpaceDE w:val="0"/>
              <w:autoSpaceDN w:val="0"/>
              <w:adjustRightInd w:val="0"/>
              <w:jc w:val="right"/>
              <w:rPr>
                <w:rFonts w:cstheme="minorHAnsi"/>
                <w:bCs/>
              </w:rPr>
            </w:pPr>
            <w:r>
              <w:rPr>
                <w:rFonts w:cstheme="minorHAnsi"/>
                <w:bCs/>
              </w:rPr>
              <w:t>30.9.2012</w:t>
            </w:r>
          </w:p>
        </w:tc>
      </w:tr>
      <w:tr w:rsidR="00CF74CB" w:rsidTr="00AF7A58">
        <w:tc>
          <w:tcPr>
            <w:tcW w:w="7730" w:type="dxa"/>
          </w:tcPr>
          <w:p w:rsidR="00CF74CB" w:rsidRDefault="00CF74CB" w:rsidP="00AF7A58">
            <w:pPr>
              <w:autoSpaceDE w:val="0"/>
              <w:autoSpaceDN w:val="0"/>
              <w:adjustRightInd w:val="0"/>
              <w:rPr>
                <w:rFonts w:cstheme="minorHAnsi"/>
                <w:bCs/>
              </w:rPr>
            </w:pPr>
          </w:p>
        </w:tc>
        <w:tc>
          <w:tcPr>
            <w:tcW w:w="1108" w:type="dxa"/>
          </w:tcPr>
          <w:p w:rsidR="00CF74CB" w:rsidRDefault="00CF74CB" w:rsidP="00AF7A58">
            <w:pPr>
              <w:autoSpaceDE w:val="0"/>
              <w:autoSpaceDN w:val="0"/>
              <w:adjustRightInd w:val="0"/>
              <w:jc w:val="right"/>
              <w:rPr>
                <w:rFonts w:cstheme="minorHAnsi"/>
                <w:bCs/>
              </w:rPr>
            </w:pPr>
            <w:r>
              <w:rPr>
                <w:rFonts w:cstheme="minorHAnsi"/>
                <w:bCs/>
              </w:rPr>
              <w:t>RM’000</w:t>
            </w:r>
          </w:p>
        </w:tc>
      </w:tr>
      <w:tr w:rsidR="00CF74CB" w:rsidTr="00AF7A58">
        <w:tc>
          <w:tcPr>
            <w:tcW w:w="7730" w:type="dxa"/>
          </w:tcPr>
          <w:p w:rsidR="00CF74CB" w:rsidRPr="00436AB7" w:rsidRDefault="00CF74CB" w:rsidP="00AF7A58">
            <w:pPr>
              <w:autoSpaceDE w:val="0"/>
              <w:autoSpaceDN w:val="0"/>
              <w:adjustRightInd w:val="0"/>
              <w:rPr>
                <w:rFonts w:cstheme="minorHAnsi"/>
                <w:b/>
                <w:bCs/>
              </w:rPr>
            </w:pPr>
            <w:r>
              <w:rPr>
                <w:rFonts w:cstheme="minorHAnsi"/>
                <w:b/>
                <w:bCs/>
              </w:rPr>
              <w:t>Total retained earnings for the Group:</w:t>
            </w:r>
          </w:p>
        </w:tc>
        <w:tc>
          <w:tcPr>
            <w:tcW w:w="1108" w:type="dxa"/>
          </w:tcPr>
          <w:p w:rsidR="00CF74CB" w:rsidRDefault="00CF74CB" w:rsidP="00AF7A58">
            <w:pPr>
              <w:autoSpaceDE w:val="0"/>
              <w:autoSpaceDN w:val="0"/>
              <w:adjustRightInd w:val="0"/>
              <w:jc w:val="right"/>
              <w:rPr>
                <w:rFonts w:cstheme="minorHAnsi"/>
                <w:bCs/>
              </w:rPr>
            </w:pPr>
          </w:p>
        </w:tc>
      </w:tr>
      <w:tr w:rsidR="00CF74CB" w:rsidTr="00AF7A58">
        <w:tc>
          <w:tcPr>
            <w:tcW w:w="7730" w:type="dxa"/>
          </w:tcPr>
          <w:p w:rsidR="00CF74CB" w:rsidRPr="00D36FC2" w:rsidRDefault="00D36FC2" w:rsidP="00D36FC2">
            <w:pPr>
              <w:pStyle w:val="ListParagraph"/>
              <w:numPr>
                <w:ilvl w:val="0"/>
                <w:numId w:val="13"/>
              </w:numPr>
              <w:autoSpaceDE w:val="0"/>
              <w:autoSpaceDN w:val="0"/>
              <w:adjustRightInd w:val="0"/>
              <w:rPr>
                <w:rFonts w:cstheme="minorHAnsi"/>
                <w:bCs/>
              </w:rPr>
            </w:pPr>
            <w:proofErr w:type="spellStart"/>
            <w:r>
              <w:rPr>
                <w:rFonts w:cstheme="minorHAnsi"/>
                <w:bCs/>
              </w:rPr>
              <w:t>Realised</w:t>
            </w:r>
            <w:proofErr w:type="spellEnd"/>
          </w:p>
          <w:p w:rsidR="00CF74CB" w:rsidRPr="00436AB7" w:rsidRDefault="00D36FC2" w:rsidP="00AF7A58">
            <w:pPr>
              <w:pStyle w:val="ListParagraph"/>
              <w:numPr>
                <w:ilvl w:val="0"/>
                <w:numId w:val="13"/>
              </w:numPr>
              <w:autoSpaceDE w:val="0"/>
              <w:autoSpaceDN w:val="0"/>
              <w:adjustRightInd w:val="0"/>
              <w:rPr>
                <w:rFonts w:cstheme="minorHAnsi"/>
                <w:bCs/>
              </w:rPr>
            </w:pPr>
            <w:proofErr w:type="spellStart"/>
            <w:r>
              <w:rPr>
                <w:rFonts w:cstheme="minorHAnsi"/>
                <w:bCs/>
              </w:rPr>
              <w:t>Unrealised</w:t>
            </w:r>
            <w:proofErr w:type="spellEnd"/>
          </w:p>
        </w:tc>
        <w:tc>
          <w:tcPr>
            <w:tcW w:w="1108" w:type="dxa"/>
            <w:tcBorders>
              <w:bottom w:val="single" w:sz="4" w:space="0" w:color="auto"/>
            </w:tcBorders>
          </w:tcPr>
          <w:p w:rsidR="00CF74CB" w:rsidRDefault="00D36FC2" w:rsidP="00AF7A58">
            <w:pPr>
              <w:autoSpaceDE w:val="0"/>
              <w:autoSpaceDN w:val="0"/>
              <w:adjustRightInd w:val="0"/>
              <w:jc w:val="right"/>
              <w:rPr>
                <w:rFonts w:cstheme="minorHAnsi"/>
                <w:bCs/>
              </w:rPr>
            </w:pPr>
            <w:r>
              <w:rPr>
                <w:rFonts w:cstheme="minorHAnsi"/>
                <w:bCs/>
              </w:rPr>
              <w:t>36,698</w:t>
            </w:r>
          </w:p>
          <w:p w:rsidR="00CF74CB" w:rsidRDefault="00D36FC2" w:rsidP="00AF7A58">
            <w:pPr>
              <w:autoSpaceDE w:val="0"/>
              <w:autoSpaceDN w:val="0"/>
              <w:adjustRightInd w:val="0"/>
              <w:jc w:val="right"/>
              <w:rPr>
                <w:rFonts w:cstheme="minorHAnsi"/>
                <w:bCs/>
              </w:rPr>
            </w:pPr>
            <w:r>
              <w:rPr>
                <w:rFonts w:cstheme="minorHAnsi"/>
                <w:bCs/>
              </w:rPr>
              <w:t>-</w:t>
            </w:r>
          </w:p>
        </w:tc>
      </w:tr>
    </w:tbl>
    <w:p w:rsidR="00CF74CB" w:rsidRPr="00627F38" w:rsidRDefault="00CF74CB" w:rsidP="00D208FE">
      <w:pPr>
        <w:autoSpaceDE w:val="0"/>
        <w:autoSpaceDN w:val="0"/>
        <w:adjustRightInd w:val="0"/>
        <w:spacing w:after="0" w:line="240" w:lineRule="auto"/>
        <w:rPr>
          <w:rFonts w:cstheme="minorHAnsi"/>
        </w:rPr>
      </w:pPr>
    </w:p>
    <w:p w:rsidR="00627F38" w:rsidRPr="00627F38" w:rsidRDefault="00627F38" w:rsidP="00D208FE">
      <w:pPr>
        <w:autoSpaceDE w:val="0"/>
        <w:autoSpaceDN w:val="0"/>
        <w:adjustRightInd w:val="0"/>
        <w:spacing w:after="0" w:line="240" w:lineRule="auto"/>
        <w:rPr>
          <w:rFonts w:cstheme="minorHAnsi"/>
          <w:b/>
        </w:rPr>
      </w:pPr>
      <w:r w:rsidRPr="00627F38">
        <w:rPr>
          <w:rFonts w:cstheme="minorHAnsi"/>
          <w:b/>
        </w:rPr>
        <w:t>B14.</w:t>
      </w:r>
      <w:r w:rsidRPr="00627F38">
        <w:rPr>
          <w:rFonts w:cstheme="minorHAnsi"/>
          <w:b/>
        </w:rPr>
        <w:tab/>
      </w:r>
      <w:proofErr w:type="spellStart"/>
      <w:r w:rsidRPr="00627F38">
        <w:rPr>
          <w:rFonts w:cstheme="minorHAnsi"/>
          <w:b/>
        </w:rPr>
        <w:t>Authorisation</w:t>
      </w:r>
      <w:proofErr w:type="spellEnd"/>
      <w:r w:rsidRPr="00627F38">
        <w:rPr>
          <w:rFonts w:cstheme="minorHAnsi"/>
          <w:b/>
        </w:rPr>
        <w:t xml:space="preserve"> for Issue</w:t>
      </w:r>
    </w:p>
    <w:p w:rsidR="00627F38" w:rsidRPr="00627F38" w:rsidRDefault="00627F38" w:rsidP="00D208FE">
      <w:pPr>
        <w:autoSpaceDE w:val="0"/>
        <w:autoSpaceDN w:val="0"/>
        <w:adjustRightInd w:val="0"/>
        <w:spacing w:after="0" w:line="240" w:lineRule="auto"/>
        <w:rPr>
          <w:rFonts w:cstheme="minorHAnsi"/>
        </w:rPr>
      </w:pPr>
    </w:p>
    <w:p w:rsidR="00627F38" w:rsidRPr="00627F38" w:rsidRDefault="00D36FC2" w:rsidP="00D36FC2">
      <w:pPr>
        <w:autoSpaceDE w:val="0"/>
        <w:autoSpaceDN w:val="0"/>
        <w:adjustRightInd w:val="0"/>
        <w:spacing w:after="0" w:line="240" w:lineRule="auto"/>
        <w:ind w:left="720"/>
        <w:jc w:val="both"/>
        <w:rPr>
          <w:rFonts w:cstheme="minorHAnsi"/>
        </w:rPr>
      </w:pPr>
      <w:r>
        <w:rPr>
          <w:rFonts w:cstheme="minorHAnsi"/>
        </w:rPr>
        <w:t>This interim financial report was authorized for issuance by the Board of Directors of the Company on 28 November 2012.</w:t>
      </w:r>
    </w:p>
    <w:sectPr w:rsidR="00627F38" w:rsidRPr="00627F38" w:rsidSect="006063A5">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C7" w:rsidRDefault="00770FC7" w:rsidP="004C2064">
      <w:pPr>
        <w:spacing w:after="0" w:line="240" w:lineRule="auto"/>
      </w:pPr>
      <w:r>
        <w:separator/>
      </w:r>
    </w:p>
  </w:endnote>
  <w:endnote w:type="continuationSeparator" w:id="0">
    <w:p w:rsidR="00770FC7" w:rsidRDefault="00770FC7" w:rsidP="004C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21153"/>
      <w:docPartObj>
        <w:docPartGallery w:val="Page Numbers (Bottom of Page)"/>
        <w:docPartUnique/>
      </w:docPartObj>
    </w:sdtPr>
    <w:sdtEndPr>
      <w:rPr>
        <w:noProof/>
      </w:rPr>
    </w:sdtEndPr>
    <w:sdtContent>
      <w:p w:rsidR="00AF7A58" w:rsidRDefault="00AF7A58">
        <w:pPr>
          <w:pStyle w:val="Footer"/>
          <w:jc w:val="center"/>
        </w:pPr>
        <w:r>
          <w:fldChar w:fldCharType="begin"/>
        </w:r>
        <w:r>
          <w:instrText xml:space="preserve"> PAGE   \* MERGEFORMAT </w:instrText>
        </w:r>
        <w:r>
          <w:fldChar w:fldCharType="separate"/>
        </w:r>
        <w:r w:rsidR="009A0BC5">
          <w:rPr>
            <w:noProof/>
          </w:rPr>
          <w:t>10</w:t>
        </w:r>
        <w:r>
          <w:rPr>
            <w:noProof/>
          </w:rPr>
          <w:fldChar w:fldCharType="end"/>
        </w:r>
      </w:p>
    </w:sdtContent>
  </w:sdt>
  <w:p w:rsidR="00AF7A58" w:rsidRDefault="00AF7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C7" w:rsidRDefault="00770FC7" w:rsidP="004C2064">
      <w:pPr>
        <w:spacing w:after="0" w:line="240" w:lineRule="auto"/>
      </w:pPr>
      <w:r>
        <w:separator/>
      </w:r>
    </w:p>
  </w:footnote>
  <w:footnote w:type="continuationSeparator" w:id="0">
    <w:p w:rsidR="00770FC7" w:rsidRDefault="00770FC7" w:rsidP="004C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655"/>
    <w:multiLevelType w:val="hybridMultilevel"/>
    <w:tmpl w:val="A6FC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44248"/>
    <w:multiLevelType w:val="hybridMultilevel"/>
    <w:tmpl w:val="42ECDFE2"/>
    <w:lvl w:ilvl="0" w:tplc="87BE2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A16A9"/>
    <w:multiLevelType w:val="hybridMultilevel"/>
    <w:tmpl w:val="87A07056"/>
    <w:lvl w:ilvl="0" w:tplc="23000C2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1282C"/>
    <w:multiLevelType w:val="hybridMultilevel"/>
    <w:tmpl w:val="42ECDFE2"/>
    <w:lvl w:ilvl="0" w:tplc="87BE2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456F8A"/>
    <w:multiLevelType w:val="hybridMultilevel"/>
    <w:tmpl w:val="CDE2E7C6"/>
    <w:lvl w:ilvl="0" w:tplc="33326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C2AAC"/>
    <w:multiLevelType w:val="hybridMultilevel"/>
    <w:tmpl w:val="DAFC7EBA"/>
    <w:lvl w:ilvl="0" w:tplc="2B40A81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E634F"/>
    <w:multiLevelType w:val="hybridMultilevel"/>
    <w:tmpl w:val="B4B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C4F23"/>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21E36"/>
    <w:multiLevelType w:val="hybridMultilevel"/>
    <w:tmpl w:val="7D6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003F0"/>
    <w:multiLevelType w:val="hybridMultilevel"/>
    <w:tmpl w:val="A89ACA18"/>
    <w:lvl w:ilvl="0" w:tplc="C868E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72919"/>
    <w:multiLevelType w:val="hybridMultilevel"/>
    <w:tmpl w:val="53E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549A3"/>
    <w:multiLevelType w:val="hybridMultilevel"/>
    <w:tmpl w:val="1E1A2516"/>
    <w:lvl w:ilvl="0" w:tplc="F4DAD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6234BD"/>
    <w:multiLevelType w:val="hybridMultilevel"/>
    <w:tmpl w:val="3314E024"/>
    <w:lvl w:ilvl="0" w:tplc="3DD6C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97754"/>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65584"/>
    <w:multiLevelType w:val="hybridMultilevel"/>
    <w:tmpl w:val="DE808C8A"/>
    <w:lvl w:ilvl="0" w:tplc="85E29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54740"/>
    <w:multiLevelType w:val="hybridMultilevel"/>
    <w:tmpl w:val="F098BBC4"/>
    <w:lvl w:ilvl="0" w:tplc="CC22F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A5AB4"/>
    <w:multiLevelType w:val="hybridMultilevel"/>
    <w:tmpl w:val="3244C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F049E"/>
    <w:multiLevelType w:val="hybridMultilevel"/>
    <w:tmpl w:val="9D7ABCE2"/>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77901"/>
    <w:multiLevelType w:val="hybridMultilevel"/>
    <w:tmpl w:val="0CAECE90"/>
    <w:lvl w:ilvl="0" w:tplc="87BE246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6D2253"/>
    <w:multiLevelType w:val="hybridMultilevel"/>
    <w:tmpl w:val="F51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2"/>
  </w:num>
  <w:num w:numId="5">
    <w:abstractNumId w:val="15"/>
  </w:num>
  <w:num w:numId="6">
    <w:abstractNumId w:val="14"/>
  </w:num>
  <w:num w:numId="7">
    <w:abstractNumId w:val="9"/>
  </w:num>
  <w:num w:numId="8">
    <w:abstractNumId w:val="6"/>
  </w:num>
  <w:num w:numId="9">
    <w:abstractNumId w:val="17"/>
  </w:num>
  <w:num w:numId="10">
    <w:abstractNumId w:val="7"/>
  </w:num>
  <w:num w:numId="11">
    <w:abstractNumId w:val="16"/>
  </w:num>
  <w:num w:numId="12">
    <w:abstractNumId w:val="5"/>
  </w:num>
  <w:num w:numId="13">
    <w:abstractNumId w:val="0"/>
  </w:num>
  <w:num w:numId="14">
    <w:abstractNumId w:val="1"/>
  </w:num>
  <w:num w:numId="15">
    <w:abstractNumId w:val="3"/>
  </w:num>
  <w:num w:numId="16">
    <w:abstractNumId w:val="18"/>
  </w:num>
  <w:num w:numId="17">
    <w:abstractNumId w:val="2"/>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6E"/>
    <w:rsid w:val="00015926"/>
    <w:rsid w:val="00022449"/>
    <w:rsid w:val="000443CC"/>
    <w:rsid w:val="00065126"/>
    <w:rsid w:val="00075970"/>
    <w:rsid w:val="000D0EEF"/>
    <w:rsid w:val="000E7246"/>
    <w:rsid w:val="0010314B"/>
    <w:rsid w:val="00120E3B"/>
    <w:rsid w:val="00125E4F"/>
    <w:rsid w:val="00171367"/>
    <w:rsid w:val="00177BA4"/>
    <w:rsid w:val="00181F38"/>
    <w:rsid w:val="00191A8F"/>
    <w:rsid w:val="001A5F27"/>
    <w:rsid w:val="001A7FAC"/>
    <w:rsid w:val="001B1A50"/>
    <w:rsid w:val="001C2515"/>
    <w:rsid w:val="001C2B56"/>
    <w:rsid w:val="001C3AEC"/>
    <w:rsid w:val="001D3EE0"/>
    <w:rsid w:val="00240164"/>
    <w:rsid w:val="00253804"/>
    <w:rsid w:val="002579B7"/>
    <w:rsid w:val="00266893"/>
    <w:rsid w:val="002A4C41"/>
    <w:rsid w:val="002A6FCF"/>
    <w:rsid w:val="002B566D"/>
    <w:rsid w:val="002E4957"/>
    <w:rsid w:val="002E563B"/>
    <w:rsid w:val="002F1C6E"/>
    <w:rsid w:val="002F450B"/>
    <w:rsid w:val="002F69AE"/>
    <w:rsid w:val="00306F05"/>
    <w:rsid w:val="00325F1F"/>
    <w:rsid w:val="00331815"/>
    <w:rsid w:val="00336DE1"/>
    <w:rsid w:val="00375C09"/>
    <w:rsid w:val="003A0BC9"/>
    <w:rsid w:val="003B1884"/>
    <w:rsid w:val="003E7C57"/>
    <w:rsid w:val="003F0D2C"/>
    <w:rsid w:val="004129EE"/>
    <w:rsid w:val="00427662"/>
    <w:rsid w:val="00432439"/>
    <w:rsid w:val="00436AB7"/>
    <w:rsid w:val="00467F77"/>
    <w:rsid w:val="00471A2C"/>
    <w:rsid w:val="004902A0"/>
    <w:rsid w:val="004B4D03"/>
    <w:rsid w:val="004B5970"/>
    <w:rsid w:val="004C2064"/>
    <w:rsid w:val="00505AEA"/>
    <w:rsid w:val="00516A35"/>
    <w:rsid w:val="0051758B"/>
    <w:rsid w:val="005204BC"/>
    <w:rsid w:val="0052556A"/>
    <w:rsid w:val="0056448D"/>
    <w:rsid w:val="005A2AA7"/>
    <w:rsid w:val="005A6D15"/>
    <w:rsid w:val="005F7DD1"/>
    <w:rsid w:val="00603833"/>
    <w:rsid w:val="006063A5"/>
    <w:rsid w:val="00624228"/>
    <w:rsid w:val="00627F38"/>
    <w:rsid w:val="006655B8"/>
    <w:rsid w:val="0069293C"/>
    <w:rsid w:val="00693FAA"/>
    <w:rsid w:val="006A4C5E"/>
    <w:rsid w:val="006E460C"/>
    <w:rsid w:val="006F15EB"/>
    <w:rsid w:val="006F2819"/>
    <w:rsid w:val="00704C77"/>
    <w:rsid w:val="00707B27"/>
    <w:rsid w:val="0072613E"/>
    <w:rsid w:val="007356C6"/>
    <w:rsid w:val="00767562"/>
    <w:rsid w:val="00770FC7"/>
    <w:rsid w:val="007B5F7D"/>
    <w:rsid w:val="008064EA"/>
    <w:rsid w:val="00850DDC"/>
    <w:rsid w:val="008653CF"/>
    <w:rsid w:val="00874003"/>
    <w:rsid w:val="0089205C"/>
    <w:rsid w:val="008C62EF"/>
    <w:rsid w:val="00900DBE"/>
    <w:rsid w:val="009203CB"/>
    <w:rsid w:val="00946077"/>
    <w:rsid w:val="0095001A"/>
    <w:rsid w:val="00957667"/>
    <w:rsid w:val="00981CD4"/>
    <w:rsid w:val="00985E03"/>
    <w:rsid w:val="00987E9F"/>
    <w:rsid w:val="009A0BC5"/>
    <w:rsid w:val="009B2827"/>
    <w:rsid w:val="00A74549"/>
    <w:rsid w:val="00A85D73"/>
    <w:rsid w:val="00A9136E"/>
    <w:rsid w:val="00A93566"/>
    <w:rsid w:val="00AE72FA"/>
    <w:rsid w:val="00AF7A58"/>
    <w:rsid w:val="00B306A3"/>
    <w:rsid w:val="00B72D2A"/>
    <w:rsid w:val="00B93CA9"/>
    <w:rsid w:val="00B97E00"/>
    <w:rsid w:val="00BB5EBB"/>
    <w:rsid w:val="00BC465E"/>
    <w:rsid w:val="00BC6990"/>
    <w:rsid w:val="00C33941"/>
    <w:rsid w:val="00C639AA"/>
    <w:rsid w:val="00C92A5C"/>
    <w:rsid w:val="00CA141B"/>
    <w:rsid w:val="00CE39E5"/>
    <w:rsid w:val="00CE4A1F"/>
    <w:rsid w:val="00CF74CB"/>
    <w:rsid w:val="00D04647"/>
    <w:rsid w:val="00D10B79"/>
    <w:rsid w:val="00D15F89"/>
    <w:rsid w:val="00D208FE"/>
    <w:rsid w:val="00D23DEB"/>
    <w:rsid w:val="00D36FC2"/>
    <w:rsid w:val="00D80C70"/>
    <w:rsid w:val="00DE7C7E"/>
    <w:rsid w:val="00E21A58"/>
    <w:rsid w:val="00E40527"/>
    <w:rsid w:val="00E426EC"/>
    <w:rsid w:val="00E62707"/>
    <w:rsid w:val="00E66E09"/>
    <w:rsid w:val="00E756CB"/>
    <w:rsid w:val="00E81E5B"/>
    <w:rsid w:val="00E85207"/>
    <w:rsid w:val="00E91F43"/>
    <w:rsid w:val="00EB4840"/>
    <w:rsid w:val="00EE705D"/>
    <w:rsid w:val="00F02611"/>
    <w:rsid w:val="00F16899"/>
    <w:rsid w:val="00F37D49"/>
    <w:rsid w:val="00F425F3"/>
    <w:rsid w:val="00F469DE"/>
    <w:rsid w:val="00F56BA1"/>
    <w:rsid w:val="00F718F2"/>
    <w:rsid w:val="00F8288F"/>
    <w:rsid w:val="00F86466"/>
    <w:rsid w:val="00FA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6E"/>
    <w:pPr>
      <w:spacing w:after="0" w:line="240" w:lineRule="auto"/>
    </w:pPr>
  </w:style>
  <w:style w:type="table" w:styleId="TableGrid">
    <w:name w:val="Table Grid"/>
    <w:basedOn w:val="TableNormal"/>
    <w:uiPriority w:val="59"/>
    <w:rsid w:val="002F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4"/>
  </w:style>
  <w:style w:type="paragraph" w:styleId="Footer">
    <w:name w:val="footer"/>
    <w:basedOn w:val="Normal"/>
    <w:link w:val="FooterChar"/>
    <w:uiPriority w:val="99"/>
    <w:unhideWhenUsed/>
    <w:rsid w:val="004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4"/>
  </w:style>
  <w:style w:type="paragraph" w:customStyle="1" w:styleId="Default">
    <w:name w:val="Default"/>
    <w:rsid w:val="007261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840"/>
    <w:pPr>
      <w:ind w:left="720"/>
      <w:contextualSpacing/>
    </w:pPr>
  </w:style>
  <w:style w:type="paragraph" w:styleId="BalloonText">
    <w:name w:val="Balloon Text"/>
    <w:basedOn w:val="Normal"/>
    <w:link w:val="BalloonTextChar"/>
    <w:uiPriority w:val="99"/>
    <w:semiHidden/>
    <w:unhideWhenUsed/>
    <w:rsid w:val="00C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6E"/>
    <w:pPr>
      <w:spacing w:after="0" w:line="240" w:lineRule="auto"/>
    </w:pPr>
  </w:style>
  <w:style w:type="table" w:styleId="TableGrid">
    <w:name w:val="Table Grid"/>
    <w:basedOn w:val="TableNormal"/>
    <w:uiPriority w:val="59"/>
    <w:rsid w:val="002F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4"/>
  </w:style>
  <w:style w:type="paragraph" w:styleId="Footer">
    <w:name w:val="footer"/>
    <w:basedOn w:val="Normal"/>
    <w:link w:val="FooterChar"/>
    <w:uiPriority w:val="99"/>
    <w:unhideWhenUsed/>
    <w:rsid w:val="004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4"/>
  </w:style>
  <w:style w:type="paragraph" w:customStyle="1" w:styleId="Default">
    <w:name w:val="Default"/>
    <w:rsid w:val="007261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4840"/>
    <w:pPr>
      <w:ind w:left="720"/>
      <w:contextualSpacing/>
    </w:pPr>
  </w:style>
  <w:style w:type="paragraph" w:styleId="BalloonText">
    <w:name w:val="Balloon Text"/>
    <w:basedOn w:val="Normal"/>
    <w:link w:val="BalloonTextChar"/>
    <w:uiPriority w:val="99"/>
    <w:semiHidden/>
    <w:unhideWhenUsed/>
    <w:rsid w:val="00C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C9D8-E895-4C38-998E-97F6BCF2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kieneng.chong</dc:creator>
  <cp:lastModifiedBy>carmen loo</cp:lastModifiedBy>
  <cp:revision>2</cp:revision>
  <cp:lastPrinted>2012-11-27T04:11:00Z</cp:lastPrinted>
  <dcterms:created xsi:type="dcterms:W3CDTF">2012-11-28T06:35:00Z</dcterms:created>
  <dcterms:modified xsi:type="dcterms:W3CDTF">2012-11-28T06:35:00Z</dcterms:modified>
</cp:coreProperties>
</file>